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74BB6" w14:textId="711B7748" w:rsidR="00EA6A46" w:rsidRPr="00132755" w:rsidRDefault="0073163B">
      <w:pPr>
        <w:rPr>
          <w:rFonts w:ascii="Arial" w:hAnsi="Arial" w:cs="Arial"/>
          <w:sz w:val="24"/>
          <w:szCs w:val="24"/>
          <w:shd w:val="clear" w:color="auto" w:fill="FFFFFF"/>
        </w:rPr>
      </w:pPr>
      <w:r w:rsidRPr="00132755">
        <w:rPr>
          <w:rFonts w:ascii="Arial" w:hAnsi="Arial" w:cs="Arial"/>
          <w:sz w:val="24"/>
          <w:szCs w:val="24"/>
        </w:rPr>
        <w:t xml:space="preserve">On January 9, 2020 during the PORAC </w:t>
      </w:r>
      <w:r w:rsidR="00E9661B">
        <w:rPr>
          <w:rFonts w:ascii="Arial" w:hAnsi="Arial" w:cs="Arial"/>
          <w:sz w:val="24"/>
          <w:szCs w:val="24"/>
        </w:rPr>
        <w:t>Board of Directors meeting</w:t>
      </w:r>
      <w:r w:rsidRPr="00132755">
        <w:rPr>
          <w:rFonts w:ascii="Arial" w:hAnsi="Arial" w:cs="Arial"/>
          <w:sz w:val="24"/>
          <w:szCs w:val="24"/>
        </w:rPr>
        <w:t>, President Br</w:t>
      </w:r>
      <w:r w:rsidR="00A86376">
        <w:rPr>
          <w:rFonts w:ascii="Arial" w:hAnsi="Arial" w:cs="Arial"/>
          <w:sz w:val="24"/>
          <w:szCs w:val="24"/>
        </w:rPr>
        <w:t>ia</w:t>
      </w:r>
      <w:r w:rsidRPr="00132755">
        <w:rPr>
          <w:rFonts w:ascii="Arial" w:hAnsi="Arial" w:cs="Arial"/>
          <w:sz w:val="24"/>
          <w:szCs w:val="24"/>
        </w:rPr>
        <w:t xml:space="preserve">n Marvel appointed me to the Peace Officer Standard and Training Advisory Committee as a sitting member for PORAC. </w:t>
      </w:r>
      <w:r w:rsidRPr="00132755">
        <w:rPr>
          <w:rFonts w:ascii="Arial" w:hAnsi="Arial" w:cs="Arial"/>
          <w:sz w:val="24"/>
          <w:szCs w:val="24"/>
          <w:shd w:val="clear" w:color="auto" w:fill="FFFFFF"/>
        </w:rPr>
        <w:t>The POST Advisory Committee performs a key role as part of the Commission’s team by providing a two-way communication link between the Commission and organizations that share an interest in the Commission’s work.  The committee meets prior to each triannual Commission meeting to review and analyze topics the Commission will later address.  Advisory Committee members represent associations and organizations within the California law enforcement community, educators, and the public-at-large.  Therefore, they provide valuable input on many contemporary and evolving issues in law enforcement, helping the Commission and POST better serve California's peace officers and the citizens they protect.</w:t>
      </w:r>
      <w:r w:rsidR="00A86376">
        <w:rPr>
          <w:rFonts w:ascii="Arial" w:hAnsi="Arial" w:cs="Arial"/>
          <w:sz w:val="24"/>
          <w:szCs w:val="24"/>
          <w:shd w:val="clear" w:color="auto" w:fill="FFFFFF"/>
        </w:rPr>
        <w:t xml:space="preserve"> </w:t>
      </w:r>
      <w:r w:rsidRPr="00132755">
        <w:rPr>
          <w:rFonts w:ascii="Arial" w:hAnsi="Arial" w:cs="Arial"/>
          <w:sz w:val="24"/>
          <w:szCs w:val="24"/>
          <w:shd w:val="clear" w:color="auto" w:fill="FFFFFF"/>
        </w:rPr>
        <w:t xml:space="preserve">Appointed by the Commission for a term of three-years, Committee members receive no compensation but are the stakeholders that give a considerable amount of input to the Commissioners when decisions are rendered. I attended my first meeting on February 12, 2020 in San Diego. This was an </w:t>
      </w:r>
      <w:r w:rsidR="006013F3" w:rsidRPr="00132755">
        <w:rPr>
          <w:rFonts w:ascii="Arial" w:hAnsi="Arial" w:cs="Arial"/>
          <w:sz w:val="24"/>
          <w:szCs w:val="24"/>
          <w:shd w:val="clear" w:color="auto" w:fill="FFFFFF"/>
        </w:rPr>
        <w:t>eye-opening</w:t>
      </w:r>
      <w:r w:rsidRPr="00132755">
        <w:rPr>
          <w:rFonts w:ascii="Arial" w:hAnsi="Arial" w:cs="Arial"/>
          <w:sz w:val="24"/>
          <w:szCs w:val="24"/>
          <w:shd w:val="clear" w:color="auto" w:fill="FFFFFF"/>
        </w:rPr>
        <w:t xml:space="preserve"> experience as to the discussions that go on regarding POST training, and all the logistics that go into that. I look forward to serving </w:t>
      </w:r>
      <w:r w:rsidR="00E9661B">
        <w:rPr>
          <w:rFonts w:ascii="Arial" w:hAnsi="Arial" w:cs="Arial"/>
          <w:sz w:val="24"/>
          <w:szCs w:val="24"/>
          <w:shd w:val="clear" w:color="auto" w:fill="FFFFFF"/>
        </w:rPr>
        <w:t>PORAC and all of you</w:t>
      </w:r>
      <w:r w:rsidRPr="00132755">
        <w:rPr>
          <w:rFonts w:ascii="Arial" w:hAnsi="Arial" w:cs="Arial"/>
          <w:sz w:val="24"/>
          <w:szCs w:val="24"/>
          <w:shd w:val="clear" w:color="auto" w:fill="FFFFFF"/>
        </w:rPr>
        <w:t xml:space="preserve"> with this group and will </w:t>
      </w:r>
      <w:r w:rsidR="00E9661B">
        <w:rPr>
          <w:rFonts w:ascii="Arial" w:hAnsi="Arial" w:cs="Arial"/>
          <w:sz w:val="24"/>
          <w:szCs w:val="24"/>
          <w:shd w:val="clear" w:color="auto" w:fill="FFFFFF"/>
        </w:rPr>
        <w:t xml:space="preserve">be </w:t>
      </w:r>
      <w:r w:rsidRPr="00132755">
        <w:rPr>
          <w:rFonts w:ascii="Arial" w:hAnsi="Arial" w:cs="Arial"/>
          <w:sz w:val="24"/>
          <w:szCs w:val="24"/>
          <w:shd w:val="clear" w:color="auto" w:fill="FFFFFF"/>
        </w:rPr>
        <w:t>report</w:t>
      </w:r>
      <w:r w:rsidR="00E9661B">
        <w:rPr>
          <w:rFonts w:ascii="Arial" w:hAnsi="Arial" w:cs="Arial"/>
          <w:sz w:val="24"/>
          <w:szCs w:val="24"/>
          <w:shd w:val="clear" w:color="auto" w:fill="FFFFFF"/>
        </w:rPr>
        <w:t>ing</w:t>
      </w:r>
      <w:r w:rsidRPr="00132755">
        <w:rPr>
          <w:rFonts w:ascii="Arial" w:hAnsi="Arial" w:cs="Arial"/>
          <w:sz w:val="24"/>
          <w:szCs w:val="24"/>
          <w:shd w:val="clear" w:color="auto" w:fill="FFFFFF"/>
        </w:rPr>
        <w:t xml:space="preserve"> back to the </w:t>
      </w:r>
      <w:r w:rsidRPr="00A86376">
        <w:rPr>
          <w:rFonts w:ascii="Arial" w:hAnsi="Arial" w:cs="Arial"/>
          <w:sz w:val="24"/>
          <w:szCs w:val="24"/>
          <w:shd w:val="clear" w:color="auto" w:fill="FFFFFF"/>
        </w:rPr>
        <w:t xml:space="preserve">membership </w:t>
      </w:r>
      <w:r w:rsidR="00A86376" w:rsidRPr="00A86376">
        <w:rPr>
          <w:rFonts w:ascii="Arial" w:hAnsi="Arial" w:cs="Arial"/>
          <w:sz w:val="24"/>
          <w:szCs w:val="24"/>
          <w:shd w:val="clear" w:color="auto" w:fill="FFFFFF"/>
        </w:rPr>
        <w:t>regarding topics</w:t>
      </w:r>
      <w:r w:rsidRPr="00A86376">
        <w:rPr>
          <w:rFonts w:ascii="Arial" w:hAnsi="Arial" w:cs="Arial"/>
          <w:sz w:val="24"/>
          <w:szCs w:val="24"/>
          <w:shd w:val="clear" w:color="auto" w:fill="FFFFFF"/>
        </w:rPr>
        <w:t xml:space="preserve"> that were</w:t>
      </w:r>
      <w:r w:rsidRPr="00132755">
        <w:rPr>
          <w:rFonts w:ascii="Arial" w:hAnsi="Arial" w:cs="Arial"/>
          <w:sz w:val="24"/>
          <w:szCs w:val="24"/>
          <w:shd w:val="clear" w:color="auto" w:fill="FFFFFF"/>
        </w:rPr>
        <w:t xml:space="preserve"> taken up during the committee. Decisions rendered at the POST Commission will be reported back as well. </w:t>
      </w:r>
    </w:p>
    <w:p w14:paraId="5A4A7986" w14:textId="5F714B4C" w:rsidR="0073163B" w:rsidRPr="00132755" w:rsidRDefault="00E9661B">
      <w:pPr>
        <w:rPr>
          <w:rFonts w:ascii="Arial" w:hAnsi="Arial" w:cs="Arial"/>
          <w:sz w:val="24"/>
          <w:szCs w:val="24"/>
          <w:shd w:val="clear" w:color="auto" w:fill="FFFFFF"/>
        </w:rPr>
      </w:pPr>
      <w:r>
        <w:rPr>
          <w:rFonts w:ascii="Arial" w:hAnsi="Arial" w:cs="Arial"/>
          <w:sz w:val="24"/>
          <w:szCs w:val="24"/>
          <w:shd w:val="clear" w:color="auto" w:fill="FFFFFF"/>
        </w:rPr>
        <w:t>One t</w:t>
      </w:r>
      <w:r w:rsidR="0073163B" w:rsidRPr="00132755">
        <w:rPr>
          <w:rFonts w:ascii="Arial" w:hAnsi="Arial" w:cs="Arial"/>
          <w:sz w:val="24"/>
          <w:szCs w:val="24"/>
          <w:shd w:val="clear" w:color="auto" w:fill="FFFFFF"/>
        </w:rPr>
        <w:t>opic of discussion during the February 12</w:t>
      </w:r>
      <w:r w:rsidR="0073163B" w:rsidRPr="00132755">
        <w:rPr>
          <w:rFonts w:ascii="Arial" w:hAnsi="Arial" w:cs="Arial"/>
          <w:sz w:val="24"/>
          <w:szCs w:val="24"/>
          <w:shd w:val="clear" w:color="auto" w:fill="FFFFFF"/>
          <w:vertAlign w:val="superscript"/>
        </w:rPr>
        <w:t>th</w:t>
      </w:r>
      <w:r w:rsidR="0073163B" w:rsidRPr="00132755">
        <w:rPr>
          <w:rFonts w:ascii="Arial" w:hAnsi="Arial" w:cs="Arial"/>
          <w:sz w:val="24"/>
          <w:szCs w:val="24"/>
          <w:shd w:val="clear" w:color="auto" w:fill="FFFFFF"/>
        </w:rPr>
        <w:t xml:space="preserve"> meeting was the dispatch academy and how a change is looking to be made in regards to attendance of this training. This topic has been discussed a couple different times during meeting</w:t>
      </w:r>
      <w:r w:rsidR="00A86376">
        <w:rPr>
          <w:rFonts w:ascii="Arial" w:hAnsi="Arial" w:cs="Arial"/>
          <w:sz w:val="24"/>
          <w:szCs w:val="24"/>
          <w:shd w:val="clear" w:color="auto" w:fill="FFFFFF"/>
        </w:rPr>
        <w:t>s</w:t>
      </w:r>
      <w:r w:rsidR="0073163B" w:rsidRPr="00132755">
        <w:rPr>
          <w:rFonts w:ascii="Arial" w:hAnsi="Arial" w:cs="Arial"/>
          <w:sz w:val="24"/>
          <w:szCs w:val="24"/>
          <w:shd w:val="clear" w:color="auto" w:fill="FFFFFF"/>
        </w:rPr>
        <w:t xml:space="preserve"> with Sheriff’s Admin in regards to </w:t>
      </w:r>
      <w:r w:rsidR="006013F3" w:rsidRPr="00132755">
        <w:rPr>
          <w:rFonts w:ascii="Arial" w:hAnsi="Arial" w:cs="Arial"/>
          <w:sz w:val="24"/>
          <w:szCs w:val="24"/>
          <w:shd w:val="clear" w:color="auto" w:fill="FFFFFF"/>
        </w:rPr>
        <w:t xml:space="preserve">how we are sending people to the POST Dispatch Academy. </w:t>
      </w:r>
    </w:p>
    <w:p w14:paraId="5E59A782" w14:textId="581136FB" w:rsidR="006013F3" w:rsidRPr="00132755" w:rsidRDefault="006013F3">
      <w:pPr>
        <w:rPr>
          <w:rFonts w:ascii="Arial" w:hAnsi="Arial" w:cs="Arial"/>
          <w:sz w:val="24"/>
          <w:szCs w:val="24"/>
          <w:shd w:val="clear" w:color="auto" w:fill="FFFFFF"/>
        </w:rPr>
      </w:pPr>
      <w:r w:rsidRPr="00E575C4">
        <w:rPr>
          <w:rFonts w:ascii="Arial" w:hAnsi="Arial" w:cs="Arial"/>
          <w:sz w:val="24"/>
          <w:szCs w:val="24"/>
          <w:shd w:val="clear" w:color="auto" w:fill="FFFFFF"/>
        </w:rPr>
        <w:t>A proposal that was made by POST</w:t>
      </w:r>
      <w:r w:rsidR="00E575C4" w:rsidRPr="00E575C4">
        <w:rPr>
          <w:rFonts w:ascii="Arial" w:hAnsi="Arial" w:cs="Arial"/>
          <w:sz w:val="24"/>
          <w:szCs w:val="24"/>
          <w:shd w:val="clear" w:color="auto" w:fill="FFFFFF"/>
        </w:rPr>
        <w:t xml:space="preserve"> administration</w:t>
      </w:r>
      <w:r w:rsidRPr="00E575C4">
        <w:rPr>
          <w:rFonts w:ascii="Arial" w:hAnsi="Arial" w:cs="Arial"/>
          <w:sz w:val="24"/>
          <w:szCs w:val="24"/>
          <w:shd w:val="clear" w:color="auto" w:fill="FFFFFF"/>
        </w:rPr>
        <w:t xml:space="preserve">, was to require the </w:t>
      </w:r>
      <w:r w:rsidR="00E575C4" w:rsidRPr="00E575C4">
        <w:rPr>
          <w:rFonts w:ascii="Arial" w:hAnsi="Arial" w:cs="Arial"/>
          <w:sz w:val="24"/>
          <w:szCs w:val="24"/>
          <w:shd w:val="clear" w:color="auto" w:fill="FFFFFF"/>
        </w:rPr>
        <w:t xml:space="preserve">dispatch </w:t>
      </w:r>
      <w:r w:rsidRPr="00E575C4">
        <w:rPr>
          <w:rFonts w:ascii="Arial" w:hAnsi="Arial" w:cs="Arial"/>
          <w:sz w:val="24"/>
          <w:szCs w:val="24"/>
          <w:shd w:val="clear" w:color="auto" w:fill="FFFFFF"/>
        </w:rPr>
        <w:t xml:space="preserve">academy before the new </w:t>
      </w:r>
      <w:r w:rsidR="00E575C4" w:rsidRPr="00E575C4">
        <w:rPr>
          <w:rFonts w:ascii="Arial" w:hAnsi="Arial" w:cs="Arial"/>
          <w:sz w:val="24"/>
          <w:szCs w:val="24"/>
          <w:shd w:val="clear" w:color="auto" w:fill="FFFFFF"/>
        </w:rPr>
        <w:t>hire (</w:t>
      </w:r>
      <w:r w:rsidRPr="00E575C4">
        <w:rPr>
          <w:rFonts w:ascii="Arial" w:hAnsi="Arial" w:cs="Arial"/>
          <w:sz w:val="24"/>
          <w:szCs w:val="24"/>
          <w:shd w:val="clear" w:color="auto" w:fill="FFFFFF"/>
        </w:rPr>
        <w:t>dispatcher</w:t>
      </w:r>
      <w:r w:rsidR="00E575C4" w:rsidRPr="00E575C4">
        <w:rPr>
          <w:rFonts w:ascii="Arial" w:hAnsi="Arial" w:cs="Arial"/>
          <w:sz w:val="24"/>
          <w:szCs w:val="24"/>
          <w:shd w:val="clear" w:color="auto" w:fill="FFFFFF"/>
        </w:rPr>
        <w:t>) reports to their respective dispatch center.</w:t>
      </w:r>
      <w:r w:rsidRPr="00132755">
        <w:rPr>
          <w:rFonts w:ascii="Arial" w:hAnsi="Arial" w:cs="Arial"/>
          <w:sz w:val="24"/>
          <w:szCs w:val="24"/>
          <w:shd w:val="clear" w:color="auto" w:fill="FFFFFF"/>
        </w:rPr>
        <w:t xml:space="preserve"> There was a good discussion and </w:t>
      </w:r>
      <w:r w:rsidR="00E9661B">
        <w:rPr>
          <w:rFonts w:ascii="Arial" w:hAnsi="Arial" w:cs="Arial"/>
          <w:sz w:val="24"/>
          <w:szCs w:val="24"/>
          <w:shd w:val="clear" w:color="auto" w:fill="FFFFFF"/>
        </w:rPr>
        <w:t xml:space="preserve">much </w:t>
      </w:r>
      <w:r w:rsidRPr="00132755">
        <w:rPr>
          <w:rFonts w:ascii="Arial" w:hAnsi="Arial" w:cs="Arial"/>
          <w:sz w:val="24"/>
          <w:szCs w:val="24"/>
          <w:shd w:val="clear" w:color="auto" w:fill="FFFFFF"/>
        </w:rPr>
        <w:t>concern over making a c</w:t>
      </w:r>
      <w:r w:rsidR="00E9661B">
        <w:rPr>
          <w:rFonts w:ascii="Arial" w:hAnsi="Arial" w:cs="Arial"/>
          <w:sz w:val="24"/>
          <w:szCs w:val="24"/>
          <w:shd w:val="clear" w:color="auto" w:fill="FFFFFF"/>
        </w:rPr>
        <w:t>hange of that nature. There were challenges addressed when making a change like this. T</w:t>
      </w:r>
      <w:r w:rsidRPr="00132755">
        <w:rPr>
          <w:rFonts w:ascii="Arial" w:hAnsi="Arial" w:cs="Arial"/>
          <w:sz w:val="24"/>
          <w:szCs w:val="24"/>
          <w:shd w:val="clear" w:color="auto" w:fill="FFFFFF"/>
        </w:rPr>
        <w:t xml:space="preserve">he lack of dispatcher candidates statewide makes this an issue right out of the gate. </w:t>
      </w:r>
      <w:r w:rsidR="00B40632" w:rsidRPr="00132755">
        <w:rPr>
          <w:rFonts w:ascii="Arial" w:hAnsi="Arial" w:cs="Arial"/>
          <w:sz w:val="24"/>
          <w:szCs w:val="24"/>
          <w:shd w:val="clear" w:color="auto" w:fill="FFFFFF"/>
        </w:rPr>
        <w:t xml:space="preserve">Followed by the failure rates statewide for dispatcher’s going through the different dispatcher training programs. </w:t>
      </w:r>
    </w:p>
    <w:p w14:paraId="704A0A68" w14:textId="012B09D6" w:rsidR="00B40632" w:rsidRPr="00132755" w:rsidRDefault="00B40632">
      <w:pPr>
        <w:rPr>
          <w:rFonts w:ascii="Arial" w:hAnsi="Arial" w:cs="Arial"/>
          <w:sz w:val="24"/>
          <w:szCs w:val="24"/>
          <w:shd w:val="clear" w:color="auto" w:fill="FFFFFF"/>
        </w:rPr>
      </w:pPr>
      <w:r w:rsidRPr="00132755">
        <w:rPr>
          <w:rFonts w:ascii="Arial" w:hAnsi="Arial" w:cs="Arial"/>
          <w:sz w:val="24"/>
          <w:szCs w:val="24"/>
          <w:shd w:val="clear" w:color="auto" w:fill="FFFFFF"/>
        </w:rPr>
        <w:t xml:space="preserve">Suggestions coming from the discussion was staggering the training since it is 120 hours in segments. Maybe doing a week after a couple months of exposure, then completing the remainder of it (80 hours) after the dispatcher has completed their respective training program. There are a variety of ways it can be broken down as far as the hours. I have reached out to our own dispatchers </w:t>
      </w:r>
      <w:r w:rsidR="00A708A5" w:rsidRPr="00132755">
        <w:rPr>
          <w:rFonts w:ascii="Arial" w:hAnsi="Arial" w:cs="Arial"/>
          <w:sz w:val="24"/>
          <w:szCs w:val="24"/>
          <w:shd w:val="clear" w:color="auto" w:fill="FFFFFF"/>
        </w:rPr>
        <w:t xml:space="preserve">along with FPD dispatchers </w:t>
      </w:r>
      <w:r w:rsidRPr="00132755">
        <w:rPr>
          <w:rFonts w:ascii="Arial" w:hAnsi="Arial" w:cs="Arial"/>
          <w:sz w:val="24"/>
          <w:szCs w:val="24"/>
          <w:shd w:val="clear" w:color="auto" w:fill="FFFFFF"/>
        </w:rPr>
        <w:t xml:space="preserve">and have asked for input </w:t>
      </w:r>
      <w:r w:rsidR="006B091B">
        <w:rPr>
          <w:rFonts w:ascii="Arial" w:hAnsi="Arial" w:cs="Arial"/>
          <w:sz w:val="24"/>
          <w:szCs w:val="24"/>
          <w:shd w:val="clear" w:color="auto" w:fill="FFFFFF"/>
        </w:rPr>
        <w:t>on this</w:t>
      </w:r>
      <w:r w:rsidRPr="00132755">
        <w:rPr>
          <w:rFonts w:ascii="Arial" w:hAnsi="Arial" w:cs="Arial"/>
          <w:sz w:val="24"/>
          <w:szCs w:val="24"/>
          <w:shd w:val="clear" w:color="auto" w:fill="FFFFFF"/>
        </w:rPr>
        <w:t xml:space="preserve"> issue so </w:t>
      </w:r>
      <w:r w:rsidR="006B091B">
        <w:rPr>
          <w:rFonts w:ascii="Arial" w:hAnsi="Arial" w:cs="Arial"/>
          <w:sz w:val="24"/>
          <w:szCs w:val="24"/>
          <w:shd w:val="clear" w:color="auto" w:fill="FFFFFF"/>
        </w:rPr>
        <w:t xml:space="preserve">that I can be prepared </w:t>
      </w:r>
      <w:r w:rsidRPr="00132755">
        <w:rPr>
          <w:rFonts w:ascii="Arial" w:hAnsi="Arial" w:cs="Arial"/>
          <w:sz w:val="24"/>
          <w:szCs w:val="24"/>
          <w:shd w:val="clear" w:color="auto" w:fill="FFFFFF"/>
        </w:rPr>
        <w:t xml:space="preserve">at our next meeting in June </w:t>
      </w:r>
      <w:r w:rsidR="006B091B">
        <w:rPr>
          <w:rFonts w:ascii="Arial" w:hAnsi="Arial" w:cs="Arial"/>
          <w:sz w:val="24"/>
          <w:szCs w:val="24"/>
          <w:shd w:val="clear" w:color="auto" w:fill="FFFFFF"/>
        </w:rPr>
        <w:t xml:space="preserve">to </w:t>
      </w:r>
      <w:r w:rsidRPr="00132755">
        <w:rPr>
          <w:rFonts w:ascii="Arial" w:hAnsi="Arial" w:cs="Arial"/>
          <w:sz w:val="24"/>
          <w:szCs w:val="24"/>
          <w:shd w:val="clear" w:color="auto" w:fill="FFFFFF"/>
        </w:rPr>
        <w:t xml:space="preserve">represent our respective groups in this region. </w:t>
      </w:r>
      <w:r w:rsidR="00A708A5" w:rsidRPr="00132755">
        <w:rPr>
          <w:rFonts w:ascii="Arial" w:hAnsi="Arial" w:cs="Arial"/>
          <w:sz w:val="24"/>
          <w:szCs w:val="24"/>
          <w:shd w:val="clear" w:color="auto" w:fill="FFFFFF"/>
        </w:rPr>
        <w:t>Unknown at this time what direction th</w:t>
      </w:r>
      <w:r w:rsidR="00E9661B">
        <w:rPr>
          <w:rFonts w:ascii="Arial" w:hAnsi="Arial" w:cs="Arial"/>
          <w:sz w:val="24"/>
          <w:szCs w:val="24"/>
          <w:shd w:val="clear" w:color="auto" w:fill="FFFFFF"/>
        </w:rPr>
        <w:t>is will go.</w:t>
      </w:r>
    </w:p>
    <w:p w14:paraId="149EB631" w14:textId="77777777" w:rsidR="00E9661B" w:rsidRDefault="00E9661B" w:rsidP="00132755">
      <w:pPr>
        <w:pStyle w:val="Heading1"/>
        <w:ind w:left="0"/>
        <w:rPr>
          <w:rFonts w:ascii="Arial" w:hAnsi="Arial" w:cs="Arial"/>
          <w:b w:val="0"/>
          <w:color w:val="212121"/>
        </w:rPr>
      </w:pPr>
    </w:p>
    <w:p w14:paraId="146C1E67" w14:textId="77777777" w:rsidR="00E9661B" w:rsidRDefault="00E9661B" w:rsidP="00132755">
      <w:pPr>
        <w:pStyle w:val="Heading1"/>
        <w:ind w:left="0"/>
        <w:rPr>
          <w:rFonts w:ascii="Arial" w:hAnsi="Arial" w:cs="Arial"/>
          <w:b w:val="0"/>
          <w:color w:val="212121"/>
        </w:rPr>
      </w:pPr>
    </w:p>
    <w:p w14:paraId="62627DFC" w14:textId="77777777" w:rsidR="00E9661B" w:rsidRDefault="00E9661B" w:rsidP="00132755">
      <w:pPr>
        <w:pStyle w:val="Heading1"/>
        <w:ind w:left="0"/>
        <w:rPr>
          <w:rFonts w:ascii="Arial" w:hAnsi="Arial" w:cs="Arial"/>
          <w:b w:val="0"/>
          <w:color w:val="212121"/>
        </w:rPr>
      </w:pPr>
    </w:p>
    <w:p w14:paraId="3C83066F" w14:textId="77777777" w:rsidR="00E9661B" w:rsidRDefault="00E9661B" w:rsidP="00132755">
      <w:pPr>
        <w:pStyle w:val="Heading1"/>
        <w:ind w:left="0"/>
        <w:rPr>
          <w:rFonts w:ascii="Arial" w:hAnsi="Arial" w:cs="Arial"/>
          <w:b w:val="0"/>
          <w:color w:val="212121"/>
        </w:rPr>
      </w:pPr>
    </w:p>
    <w:p w14:paraId="0C3CED6B" w14:textId="698BB644" w:rsidR="00E9661B" w:rsidRPr="00E9661B" w:rsidRDefault="00E9661B" w:rsidP="00132755">
      <w:pPr>
        <w:pStyle w:val="Heading1"/>
        <w:ind w:left="0"/>
        <w:rPr>
          <w:rFonts w:ascii="Arial" w:hAnsi="Arial" w:cs="Arial"/>
          <w:color w:val="212121"/>
          <w:u w:val="single"/>
        </w:rPr>
      </w:pPr>
      <w:r w:rsidRPr="00E9661B">
        <w:rPr>
          <w:rFonts w:ascii="Arial" w:hAnsi="Arial" w:cs="Arial"/>
          <w:color w:val="212121"/>
          <w:u w:val="single"/>
        </w:rPr>
        <w:t xml:space="preserve">Update to the Pension System in California </w:t>
      </w:r>
    </w:p>
    <w:p w14:paraId="225E47B6" w14:textId="77777777" w:rsidR="00E9661B" w:rsidRDefault="00E9661B" w:rsidP="00132755">
      <w:pPr>
        <w:pStyle w:val="Heading1"/>
        <w:ind w:left="0"/>
        <w:rPr>
          <w:rFonts w:ascii="Arial" w:hAnsi="Arial" w:cs="Arial"/>
          <w:b w:val="0"/>
          <w:color w:val="212121"/>
        </w:rPr>
      </w:pPr>
    </w:p>
    <w:p w14:paraId="08681653" w14:textId="186CD619" w:rsidR="00132755" w:rsidRPr="00132755" w:rsidRDefault="00132755" w:rsidP="00132755">
      <w:pPr>
        <w:pStyle w:val="Heading1"/>
        <w:ind w:left="0"/>
        <w:rPr>
          <w:rFonts w:ascii="Arial" w:hAnsi="Arial" w:cs="Arial"/>
          <w:b w:val="0"/>
        </w:rPr>
      </w:pPr>
      <w:r w:rsidRPr="00132755">
        <w:rPr>
          <w:rFonts w:ascii="Arial" w:hAnsi="Arial" w:cs="Arial"/>
          <w:b w:val="0"/>
          <w:color w:val="212121"/>
        </w:rPr>
        <w:t xml:space="preserve">I recently received a publication from PORAC President, Brian Marvel, from the coalition </w:t>
      </w:r>
      <w:r w:rsidRPr="00132755">
        <w:rPr>
          <w:rFonts w:ascii="Arial" w:hAnsi="Arial" w:cs="Arial"/>
        </w:rPr>
        <w:t xml:space="preserve">Californians For Retirement Security </w:t>
      </w:r>
      <w:r w:rsidRPr="00132755">
        <w:rPr>
          <w:rFonts w:ascii="Arial" w:hAnsi="Arial" w:cs="Arial"/>
          <w:b w:val="0"/>
        </w:rPr>
        <w:t xml:space="preserve">which PORAC is a part of, and all of us have contributed to the pension reform fund currently being held by PORAC. These are interesting facts that are being represented by CALPERS – but are very consistent with our Fresno County Employee Retirement Association (FCERA). </w:t>
      </w:r>
    </w:p>
    <w:p w14:paraId="1C2D320B" w14:textId="77777777" w:rsidR="00132755" w:rsidRPr="00132755" w:rsidRDefault="00132755" w:rsidP="00132755">
      <w:pPr>
        <w:pStyle w:val="Heading1"/>
        <w:rPr>
          <w:rFonts w:ascii="Arial" w:hAnsi="Arial" w:cs="Arial"/>
          <w:b w:val="0"/>
          <w:color w:val="212121"/>
        </w:rPr>
      </w:pPr>
    </w:p>
    <w:p w14:paraId="0CE589D6" w14:textId="77777777" w:rsidR="00132755" w:rsidRPr="00132755" w:rsidRDefault="00132755" w:rsidP="00132755">
      <w:pPr>
        <w:pStyle w:val="Heading1"/>
        <w:ind w:left="0"/>
        <w:rPr>
          <w:rFonts w:ascii="Arial" w:hAnsi="Arial" w:cs="Arial"/>
          <w:b w:val="0"/>
          <w:color w:val="212121"/>
        </w:rPr>
      </w:pPr>
      <w:r w:rsidRPr="00132755">
        <w:rPr>
          <w:rFonts w:ascii="Arial" w:hAnsi="Arial" w:cs="Arial"/>
          <w:b w:val="0"/>
          <w:color w:val="212121"/>
        </w:rPr>
        <w:t xml:space="preserve">I get briefed quite often by Deputy John Robinson, who sits as a Trustee on the FCERA board which oversees your pension system. John has been sitting on the FCERA board for over two years. John’s tenure came around the same time as some of the newer trustees. Many new decisions have been made since that time. The Pension Fund has seen tremendous growth, even with increased retirements, which have spiked monthly payroll to over $25 million. </w:t>
      </w:r>
    </w:p>
    <w:p w14:paraId="5CE583A9" w14:textId="77777777" w:rsidR="00132755" w:rsidRPr="00132755" w:rsidRDefault="00132755" w:rsidP="00132755">
      <w:pPr>
        <w:pStyle w:val="Heading1"/>
        <w:rPr>
          <w:rFonts w:ascii="Arial" w:hAnsi="Arial" w:cs="Arial"/>
          <w:b w:val="0"/>
          <w:color w:val="212121"/>
        </w:rPr>
      </w:pPr>
    </w:p>
    <w:p w14:paraId="6BF8D354" w14:textId="6C3AE512" w:rsidR="00132755" w:rsidRPr="00132755" w:rsidRDefault="00132755" w:rsidP="00132755">
      <w:pPr>
        <w:pStyle w:val="Heading1"/>
        <w:ind w:left="0"/>
        <w:rPr>
          <w:rFonts w:ascii="Arial" w:hAnsi="Arial" w:cs="Arial"/>
          <w:b w:val="0"/>
          <w:color w:val="212121"/>
        </w:rPr>
      </w:pPr>
      <w:r w:rsidRPr="00132755">
        <w:rPr>
          <w:rFonts w:ascii="Arial" w:hAnsi="Arial" w:cs="Arial"/>
          <w:b w:val="0"/>
          <w:color w:val="212121"/>
        </w:rPr>
        <w:t>Due to a variety of factors that include retirements, new hires, low inflation, thriving markets on Wall Street, and a new investment strategy</w:t>
      </w:r>
      <w:r w:rsidR="00E9661B">
        <w:rPr>
          <w:rFonts w:ascii="Arial" w:hAnsi="Arial" w:cs="Arial"/>
          <w:b w:val="0"/>
          <w:color w:val="212121"/>
        </w:rPr>
        <w:t xml:space="preserve"> </w:t>
      </w:r>
      <w:proofErr w:type="gramStart"/>
      <w:r w:rsidR="00E9661B">
        <w:rPr>
          <w:rFonts w:ascii="Arial" w:hAnsi="Arial" w:cs="Arial"/>
          <w:b w:val="0"/>
          <w:color w:val="212121"/>
        </w:rPr>
        <w:t xml:space="preserve">- </w:t>
      </w:r>
      <w:r w:rsidRPr="00132755">
        <w:rPr>
          <w:rFonts w:ascii="Arial" w:hAnsi="Arial" w:cs="Arial"/>
          <w:b w:val="0"/>
          <w:color w:val="212121"/>
        </w:rPr>
        <w:t xml:space="preserve"> I</w:t>
      </w:r>
      <w:proofErr w:type="gramEnd"/>
      <w:r w:rsidRPr="00132755">
        <w:rPr>
          <w:rFonts w:ascii="Arial" w:hAnsi="Arial" w:cs="Arial"/>
          <w:b w:val="0"/>
          <w:color w:val="212121"/>
        </w:rPr>
        <w:t xml:space="preserve"> have listed below the amount employees will be paying into their pension starting July 1, 2020 through June 30, 2021. </w:t>
      </w:r>
    </w:p>
    <w:p w14:paraId="43D03972" w14:textId="77777777" w:rsidR="00132755" w:rsidRPr="00132755" w:rsidRDefault="00132755" w:rsidP="00132755">
      <w:pPr>
        <w:pStyle w:val="Heading1"/>
        <w:rPr>
          <w:rFonts w:ascii="Arial" w:hAnsi="Arial" w:cs="Arial"/>
          <w:b w:val="0"/>
          <w:color w:val="212121"/>
        </w:rPr>
      </w:pPr>
    </w:p>
    <w:p w14:paraId="2638B50A" w14:textId="77777777" w:rsidR="00132755" w:rsidRPr="00132755" w:rsidRDefault="00132755" w:rsidP="00132755">
      <w:pPr>
        <w:pStyle w:val="Heading1"/>
        <w:rPr>
          <w:rFonts w:ascii="Arial" w:hAnsi="Arial" w:cs="Arial"/>
          <w:b w:val="0"/>
          <w:color w:val="212121"/>
        </w:rPr>
      </w:pPr>
      <w:r w:rsidRPr="00132755">
        <w:rPr>
          <w:rFonts w:ascii="Arial" w:hAnsi="Arial" w:cs="Arial"/>
          <w:b w:val="0"/>
          <w:color w:val="212121"/>
        </w:rPr>
        <w:t>See Table Below</w:t>
      </w:r>
    </w:p>
    <w:p w14:paraId="68860650" w14:textId="77777777" w:rsidR="00132755" w:rsidRPr="00132755" w:rsidRDefault="00132755" w:rsidP="00132755">
      <w:pPr>
        <w:pStyle w:val="Heading1"/>
        <w:rPr>
          <w:rFonts w:ascii="Arial" w:hAnsi="Arial" w:cs="Arial"/>
          <w:b w:val="0"/>
          <w:color w:val="212121"/>
        </w:rPr>
      </w:pPr>
    </w:p>
    <w:p w14:paraId="78AD286A" w14:textId="77777777" w:rsidR="00132755" w:rsidRPr="00132755" w:rsidRDefault="00132755" w:rsidP="00132755">
      <w:pPr>
        <w:pStyle w:val="Heading1"/>
        <w:rPr>
          <w:rFonts w:ascii="Arial" w:hAnsi="Arial" w:cs="Arial"/>
          <w:b w:val="0"/>
          <w:color w:val="212121"/>
        </w:rPr>
      </w:pPr>
    </w:p>
    <w:p w14:paraId="25F4664B" w14:textId="72D273A5" w:rsidR="00132755" w:rsidRPr="00132755" w:rsidRDefault="00132755" w:rsidP="00132755">
      <w:pPr>
        <w:pStyle w:val="Heading1"/>
        <w:rPr>
          <w:rFonts w:ascii="Arial" w:hAnsi="Arial" w:cs="Arial"/>
          <w:b w:val="0"/>
          <w:color w:val="212121"/>
          <w:sz w:val="18"/>
          <w:szCs w:val="18"/>
        </w:rPr>
      </w:pPr>
      <w:r w:rsidRPr="00132755">
        <w:rPr>
          <w:rFonts w:ascii="Arial" w:hAnsi="Arial" w:cs="Arial"/>
          <w:b w:val="0"/>
          <w:color w:val="212121"/>
        </w:rPr>
        <w:tab/>
      </w:r>
      <w:r w:rsidRPr="00132755">
        <w:rPr>
          <w:rFonts w:ascii="Arial" w:hAnsi="Arial" w:cs="Arial"/>
          <w:b w:val="0"/>
          <w:color w:val="212121"/>
        </w:rPr>
        <w:tab/>
      </w:r>
      <w:r w:rsidRPr="00132755">
        <w:rPr>
          <w:rFonts w:ascii="Arial" w:hAnsi="Arial" w:cs="Arial"/>
          <w:b w:val="0"/>
          <w:color w:val="212121"/>
        </w:rPr>
        <w:tab/>
      </w:r>
      <w:r w:rsidRPr="00132755">
        <w:rPr>
          <w:rFonts w:ascii="Arial" w:hAnsi="Arial" w:cs="Arial"/>
          <w:b w:val="0"/>
          <w:color w:val="212121"/>
        </w:rPr>
        <w:tab/>
        <w:t xml:space="preserve"> </w:t>
      </w:r>
      <w:r w:rsidRPr="00132755">
        <w:rPr>
          <w:rFonts w:ascii="Arial" w:hAnsi="Arial" w:cs="Arial"/>
          <w:b w:val="0"/>
          <w:color w:val="212121"/>
        </w:rPr>
        <w:tab/>
      </w:r>
      <w:r w:rsidRPr="00132755">
        <w:rPr>
          <w:rFonts w:ascii="Arial" w:hAnsi="Arial" w:cs="Arial"/>
          <w:b w:val="0"/>
          <w:color w:val="212121"/>
        </w:rPr>
        <w:tab/>
        <w:t xml:space="preserve">      </w:t>
      </w:r>
      <w:r w:rsidRPr="00E9661B">
        <w:rPr>
          <w:rFonts w:ascii="Arial" w:hAnsi="Arial" w:cs="Arial"/>
          <w:b w:val="0"/>
          <w:color w:val="212121"/>
          <w:sz w:val="20"/>
          <w:szCs w:val="20"/>
        </w:rPr>
        <w:t>C</w:t>
      </w:r>
      <w:r w:rsidR="00E9661B" w:rsidRPr="00E9661B">
        <w:rPr>
          <w:rFonts w:ascii="Arial" w:hAnsi="Arial" w:cs="Arial"/>
          <w:b w:val="0"/>
          <w:color w:val="212121"/>
          <w:sz w:val="20"/>
          <w:szCs w:val="20"/>
        </w:rPr>
        <w:t>urrent Ave Rates%</w:t>
      </w:r>
      <w:r w:rsidR="00E9661B" w:rsidRPr="00E9661B">
        <w:rPr>
          <w:rFonts w:ascii="Arial" w:hAnsi="Arial" w:cs="Arial"/>
          <w:b w:val="0"/>
          <w:color w:val="212121"/>
          <w:sz w:val="20"/>
          <w:szCs w:val="20"/>
        </w:rPr>
        <w:tab/>
        <w:t xml:space="preserve">   </w:t>
      </w:r>
      <w:r w:rsidRPr="00E9661B">
        <w:rPr>
          <w:rFonts w:ascii="Arial" w:hAnsi="Arial" w:cs="Arial"/>
          <w:b w:val="0"/>
          <w:color w:val="212121"/>
          <w:sz w:val="20"/>
          <w:szCs w:val="20"/>
        </w:rPr>
        <w:t>July 1</w:t>
      </w:r>
      <w:r w:rsidR="00E9661B">
        <w:rPr>
          <w:rFonts w:ascii="Arial" w:hAnsi="Arial" w:cs="Arial"/>
          <w:b w:val="0"/>
          <w:color w:val="212121"/>
          <w:sz w:val="20"/>
          <w:szCs w:val="20"/>
        </w:rPr>
        <w:t>, 2020</w:t>
      </w:r>
      <w:r w:rsidRPr="00132755">
        <w:rPr>
          <w:rFonts w:ascii="Arial" w:hAnsi="Arial" w:cs="Arial"/>
          <w:b w:val="0"/>
          <w:color w:val="212121"/>
        </w:rPr>
        <w:tab/>
      </w:r>
      <w:r w:rsidRPr="00132755">
        <w:rPr>
          <w:rFonts w:ascii="Arial" w:hAnsi="Arial" w:cs="Arial"/>
          <w:b w:val="0"/>
          <w:color w:val="212121"/>
          <w:sz w:val="18"/>
          <w:szCs w:val="18"/>
        </w:rPr>
        <w:tab/>
      </w:r>
    </w:p>
    <w:p w14:paraId="2C05016C" w14:textId="77777777" w:rsidR="00132755" w:rsidRPr="00132755" w:rsidRDefault="00132755" w:rsidP="00132755">
      <w:pPr>
        <w:pStyle w:val="Heading1"/>
        <w:rPr>
          <w:rFonts w:ascii="Arial" w:hAnsi="Arial" w:cs="Arial"/>
          <w:b w:val="0"/>
          <w:color w:val="212121"/>
          <w:sz w:val="18"/>
          <w:szCs w:val="18"/>
        </w:rPr>
      </w:pPr>
    </w:p>
    <w:tbl>
      <w:tblPr>
        <w:tblW w:w="0" w:type="auto"/>
        <w:tblInd w:w="1710" w:type="dxa"/>
        <w:tblLayout w:type="fixed"/>
        <w:tblCellMar>
          <w:left w:w="0" w:type="dxa"/>
          <w:right w:w="0" w:type="dxa"/>
        </w:tblCellMar>
        <w:tblLook w:val="01E0" w:firstRow="1" w:lastRow="1" w:firstColumn="1" w:lastColumn="1" w:noHBand="0" w:noVBand="0"/>
      </w:tblPr>
      <w:tblGrid>
        <w:gridCol w:w="2529"/>
        <w:gridCol w:w="2370"/>
        <w:gridCol w:w="1900"/>
      </w:tblGrid>
      <w:tr w:rsidR="00132755" w:rsidRPr="00132755" w14:paraId="0D22FC05" w14:textId="77777777" w:rsidTr="0082041A">
        <w:trPr>
          <w:trHeight w:val="342"/>
        </w:trPr>
        <w:tc>
          <w:tcPr>
            <w:tcW w:w="2529" w:type="dxa"/>
          </w:tcPr>
          <w:p w14:paraId="57144C39" w14:textId="77777777" w:rsidR="00132755" w:rsidRPr="00132755" w:rsidRDefault="00132755" w:rsidP="0082041A">
            <w:pPr>
              <w:pStyle w:val="TableParagraph"/>
              <w:spacing w:before="28"/>
              <w:ind w:left="75"/>
              <w:rPr>
                <w:rFonts w:ascii="Arial" w:hAnsi="Arial" w:cs="Arial"/>
                <w:b/>
                <w:sz w:val="18"/>
                <w:szCs w:val="18"/>
              </w:rPr>
            </w:pPr>
            <w:r w:rsidRPr="00132755">
              <w:rPr>
                <w:rFonts w:ascii="Arial" w:hAnsi="Arial" w:cs="Arial"/>
                <w:b/>
                <w:w w:val="105"/>
                <w:sz w:val="18"/>
                <w:szCs w:val="18"/>
              </w:rPr>
              <w:t>General Tier 1  (0)</w:t>
            </w:r>
          </w:p>
        </w:tc>
        <w:tc>
          <w:tcPr>
            <w:tcW w:w="2370" w:type="dxa"/>
            <w:tcBorders>
              <w:top w:val="single" w:sz="2" w:space="0" w:color="000000"/>
            </w:tcBorders>
          </w:tcPr>
          <w:p w14:paraId="40BD0531" w14:textId="77777777" w:rsidR="00132755" w:rsidRPr="00132755" w:rsidRDefault="00132755" w:rsidP="0082041A">
            <w:pPr>
              <w:pStyle w:val="TableParagraph"/>
              <w:spacing w:before="28"/>
              <w:ind w:left="823" w:right="739"/>
              <w:jc w:val="center"/>
              <w:rPr>
                <w:rFonts w:ascii="Arial" w:hAnsi="Arial" w:cs="Arial"/>
                <w:b/>
                <w:sz w:val="18"/>
                <w:szCs w:val="18"/>
              </w:rPr>
            </w:pPr>
            <w:r w:rsidRPr="00132755">
              <w:rPr>
                <w:rFonts w:ascii="Arial" w:hAnsi="Arial" w:cs="Arial"/>
                <w:b/>
                <w:sz w:val="18"/>
                <w:szCs w:val="18"/>
              </w:rPr>
              <w:t>9.88%</w:t>
            </w:r>
          </w:p>
        </w:tc>
        <w:tc>
          <w:tcPr>
            <w:tcW w:w="1900" w:type="dxa"/>
            <w:tcBorders>
              <w:top w:val="single" w:sz="2" w:space="0" w:color="000000"/>
            </w:tcBorders>
          </w:tcPr>
          <w:p w14:paraId="2E7D0484" w14:textId="77777777" w:rsidR="00132755" w:rsidRPr="00132755" w:rsidRDefault="00132755" w:rsidP="0082041A">
            <w:pPr>
              <w:pStyle w:val="TableParagraph"/>
              <w:spacing w:before="23"/>
              <w:ind w:right="458"/>
              <w:jc w:val="right"/>
              <w:rPr>
                <w:rFonts w:ascii="Arial" w:hAnsi="Arial" w:cs="Arial"/>
                <w:b/>
                <w:sz w:val="18"/>
                <w:szCs w:val="18"/>
              </w:rPr>
            </w:pPr>
            <w:r w:rsidRPr="00132755">
              <w:rPr>
                <w:rFonts w:ascii="Arial" w:hAnsi="Arial" w:cs="Arial"/>
                <w:b/>
                <w:w w:val="90"/>
                <w:sz w:val="18"/>
                <w:szCs w:val="18"/>
              </w:rPr>
              <w:t xml:space="preserve">    9.88%   </w:t>
            </w:r>
          </w:p>
        </w:tc>
      </w:tr>
      <w:tr w:rsidR="00132755" w:rsidRPr="00132755" w14:paraId="367C5F7F" w14:textId="77777777" w:rsidTr="0082041A">
        <w:trPr>
          <w:trHeight w:val="355"/>
        </w:trPr>
        <w:tc>
          <w:tcPr>
            <w:tcW w:w="2529" w:type="dxa"/>
          </w:tcPr>
          <w:p w14:paraId="122B0AE9" w14:textId="77777777" w:rsidR="00132755" w:rsidRPr="00132755" w:rsidRDefault="00132755" w:rsidP="0082041A">
            <w:pPr>
              <w:pStyle w:val="TableParagraph"/>
              <w:ind w:left="65"/>
              <w:rPr>
                <w:rFonts w:ascii="Arial" w:hAnsi="Arial" w:cs="Arial"/>
                <w:b/>
                <w:sz w:val="18"/>
                <w:szCs w:val="18"/>
              </w:rPr>
            </w:pPr>
            <w:r w:rsidRPr="00132755">
              <w:rPr>
                <w:rFonts w:ascii="Arial" w:hAnsi="Arial" w:cs="Arial"/>
                <w:b/>
                <w:w w:val="105"/>
                <w:sz w:val="18"/>
                <w:szCs w:val="18"/>
              </w:rPr>
              <w:t>General Tier 2  (-0.21)</w:t>
            </w:r>
          </w:p>
        </w:tc>
        <w:tc>
          <w:tcPr>
            <w:tcW w:w="2370" w:type="dxa"/>
          </w:tcPr>
          <w:p w14:paraId="184E3DE0" w14:textId="77777777" w:rsidR="00132755" w:rsidRPr="00132755" w:rsidRDefault="00132755" w:rsidP="0082041A">
            <w:pPr>
              <w:pStyle w:val="TableParagraph"/>
              <w:ind w:left="823" w:right="748"/>
              <w:jc w:val="center"/>
              <w:rPr>
                <w:rFonts w:ascii="Arial" w:hAnsi="Arial" w:cs="Arial"/>
                <w:b/>
                <w:sz w:val="18"/>
                <w:szCs w:val="18"/>
              </w:rPr>
            </w:pPr>
            <w:r w:rsidRPr="00132755">
              <w:rPr>
                <w:rFonts w:ascii="Arial" w:hAnsi="Arial" w:cs="Arial"/>
                <w:b/>
                <w:sz w:val="18"/>
                <w:szCs w:val="18"/>
              </w:rPr>
              <w:t>7.10%</w:t>
            </w:r>
          </w:p>
        </w:tc>
        <w:tc>
          <w:tcPr>
            <w:tcW w:w="1900" w:type="dxa"/>
          </w:tcPr>
          <w:p w14:paraId="0CA87AD1" w14:textId="77777777" w:rsidR="00132755" w:rsidRPr="00132755" w:rsidRDefault="00132755" w:rsidP="0082041A">
            <w:pPr>
              <w:pStyle w:val="TableParagraph"/>
              <w:ind w:right="462"/>
              <w:jc w:val="right"/>
              <w:rPr>
                <w:rFonts w:ascii="Arial" w:hAnsi="Arial" w:cs="Arial"/>
                <w:b/>
                <w:sz w:val="18"/>
                <w:szCs w:val="18"/>
              </w:rPr>
            </w:pPr>
            <w:r w:rsidRPr="00132755">
              <w:rPr>
                <w:rFonts w:ascii="Arial" w:hAnsi="Arial" w:cs="Arial"/>
                <w:b/>
                <w:w w:val="95"/>
                <w:sz w:val="18"/>
                <w:szCs w:val="18"/>
              </w:rPr>
              <w:t>6.89%</w:t>
            </w:r>
          </w:p>
        </w:tc>
      </w:tr>
      <w:tr w:rsidR="00132755" w:rsidRPr="00132755" w14:paraId="373CF6A4" w14:textId="77777777" w:rsidTr="0082041A">
        <w:trPr>
          <w:trHeight w:val="360"/>
        </w:trPr>
        <w:tc>
          <w:tcPr>
            <w:tcW w:w="2529" w:type="dxa"/>
          </w:tcPr>
          <w:p w14:paraId="5C684E1F" w14:textId="77777777" w:rsidR="00132755" w:rsidRPr="00132755" w:rsidRDefault="00132755" w:rsidP="0082041A">
            <w:pPr>
              <w:pStyle w:val="TableParagraph"/>
              <w:spacing w:before="45"/>
              <w:ind w:left="65"/>
              <w:rPr>
                <w:rFonts w:ascii="Arial" w:hAnsi="Arial" w:cs="Arial"/>
                <w:b/>
                <w:sz w:val="18"/>
                <w:szCs w:val="18"/>
              </w:rPr>
            </w:pPr>
            <w:r w:rsidRPr="00132755">
              <w:rPr>
                <w:rFonts w:ascii="Arial" w:hAnsi="Arial" w:cs="Arial"/>
                <w:b/>
                <w:w w:val="105"/>
                <w:sz w:val="18"/>
                <w:szCs w:val="18"/>
              </w:rPr>
              <w:t>General Tier 3  (-0.01)</w:t>
            </w:r>
          </w:p>
        </w:tc>
        <w:tc>
          <w:tcPr>
            <w:tcW w:w="2370" w:type="dxa"/>
          </w:tcPr>
          <w:p w14:paraId="2889E3F0" w14:textId="77777777" w:rsidR="00132755" w:rsidRPr="00132755" w:rsidRDefault="00132755" w:rsidP="0082041A">
            <w:pPr>
              <w:pStyle w:val="TableParagraph"/>
              <w:spacing w:before="45"/>
              <w:ind w:left="823" w:right="762"/>
              <w:jc w:val="center"/>
              <w:rPr>
                <w:rFonts w:ascii="Arial" w:hAnsi="Arial" w:cs="Arial"/>
                <w:b/>
                <w:sz w:val="18"/>
                <w:szCs w:val="18"/>
              </w:rPr>
            </w:pPr>
            <w:r w:rsidRPr="00132755">
              <w:rPr>
                <w:rFonts w:ascii="Arial" w:hAnsi="Arial" w:cs="Arial"/>
                <w:b/>
                <w:sz w:val="18"/>
                <w:szCs w:val="18"/>
              </w:rPr>
              <w:t>8.00%</w:t>
            </w:r>
          </w:p>
        </w:tc>
        <w:tc>
          <w:tcPr>
            <w:tcW w:w="1900" w:type="dxa"/>
          </w:tcPr>
          <w:p w14:paraId="4CFA3E83" w14:textId="77777777" w:rsidR="00132755" w:rsidRPr="00132755" w:rsidRDefault="00132755" w:rsidP="0082041A">
            <w:pPr>
              <w:pStyle w:val="TableParagraph"/>
              <w:ind w:right="462"/>
              <w:jc w:val="right"/>
              <w:rPr>
                <w:rFonts w:ascii="Arial" w:hAnsi="Arial" w:cs="Arial"/>
                <w:b/>
                <w:sz w:val="18"/>
                <w:szCs w:val="18"/>
              </w:rPr>
            </w:pPr>
            <w:r w:rsidRPr="00132755">
              <w:rPr>
                <w:rFonts w:ascii="Arial" w:hAnsi="Arial" w:cs="Arial"/>
                <w:b/>
                <w:w w:val="90"/>
                <w:sz w:val="18"/>
                <w:szCs w:val="18"/>
              </w:rPr>
              <w:t>7.99%</w:t>
            </w:r>
          </w:p>
        </w:tc>
      </w:tr>
      <w:tr w:rsidR="00132755" w:rsidRPr="00132755" w14:paraId="3EFC965E" w14:textId="77777777" w:rsidTr="0082041A">
        <w:trPr>
          <w:trHeight w:val="358"/>
        </w:trPr>
        <w:tc>
          <w:tcPr>
            <w:tcW w:w="2529" w:type="dxa"/>
          </w:tcPr>
          <w:p w14:paraId="38CEBD42" w14:textId="77777777" w:rsidR="00132755" w:rsidRPr="00132755" w:rsidRDefault="00132755" w:rsidP="0082041A">
            <w:pPr>
              <w:pStyle w:val="TableParagraph"/>
              <w:spacing w:before="45"/>
              <w:ind w:left="65"/>
              <w:rPr>
                <w:rFonts w:ascii="Arial" w:hAnsi="Arial" w:cs="Arial"/>
                <w:b/>
                <w:i/>
                <w:sz w:val="18"/>
                <w:szCs w:val="18"/>
              </w:rPr>
            </w:pPr>
            <w:r w:rsidRPr="00132755">
              <w:rPr>
                <w:rFonts w:ascii="Arial" w:hAnsi="Arial" w:cs="Arial"/>
                <w:b/>
                <w:w w:val="105"/>
                <w:sz w:val="18"/>
                <w:szCs w:val="18"/>
              </w:rPr>
              <w:t>General Tier 4  (+0.15)</w:t>
            </w:r>
          </w:p>
        </w:tc>
        <w:tc>
          <w:tcPr>
            <w:tcW w:w="2370" w:type="dxa"/>
          </w:tcPr>
          <w:p w14:paraId="6E3F51FC" w14:textId="77777777" w:rsidR="00132755" w:rsidRPr="00132755" w:rsidRDefault="00132755" w:rsidP="0082041A">
            <w:pPr>
              <w:pStyle w:val="TableParagraph"/>
              <w:ind w:left="823" w:right="757"/>
              <w:jc w:val="center"/>
              <w:rPr>
                <w:rFonts w:ascii="Arial" w:hAnsi="Arial" w:cs="Arial"/>
                <w:b/>
                <w:sz w:val="18"/>
                <w:szCs w:val="18"/>
              </w:rPr>
            </w:pPr>
            <w:r w:rsidRPr="00132755">
              <w:rPr>
                <w:rFonts w:ascii="Arial" w:hAnsi="Arial" w:cs="Arial"/>
                <w:b/>
                <w:sz w:val="18"/>
                <w:szCs w:val="18"/>
              </w:rPr>
              <w:t>7.08%</w:t>
            </w:r>
          </w:p>
        </w:tc>
        <w:tc>
          <w:tcPr>
            <w:tcW w:w="1900" w:type="dxa"/>
          </w:tcPr>
          <w:p w14:paraId="0E39158E" w14:textId="77777777" w:rsidR="00132755" w:rsidRPr="00132755" w:rsidRDefault="00132755" w:rsidP="0082041A">
            <w:pPr>
              <w:pStyle w:val="TableParagraph"/>
              <w:ind w:right="467"/>
              <w:jc w:val="right"/>
              <w:rPr>
                <w:rFonts w:ascii="Arial" w:hAnsi="Arial" w:cs="Arial"/>
                <w:b/>
                <w:sz w:val="18"/>
                <w:szCs w:val="18"/>
              </w:rPr>
            </w:pPr>
            <w:r w:rsidRPr="00132755">
              <w:rPr>
                <w:rFonts w:ascii="Arial" w:hAnsi="Arial" w:cs="Arial"/>
                <w:b/>
                <w:w w:val="90"/>
                <w:sz w:val="18"/>
                <w:szCs w:val="18"/>
              </w:rPr>
              <w:t>7.23%</w:t>
            </w:r>
          </w:p>
        </w:tc>
      </w:tr>
      <w:tr w:rsidR="00132755" w:rsidRPr="00132755" w14:paraId="419D1796" w14:textId="77777777" w:rsidTr="0082041A">
        <w:trPr>
          <w:trHeight w:val="360"/>
        </w:trPr>
        <w:tc>
          <w:tcPr>
            <w:tcW w:w="2529" w:type="dxa"/>
          </w:tcPr>
          <w:p w14:paraId="7B216D4F" w14:textId="77777777" w:rsidR="00132755" w:rsidRPr="00132755" w:rsidRDefault="00132755" w:rsidP="0082041A">
            <w:pPr>
              <w:pStyle w:val="TableParagraph"/>
              <w:spacing w:before="43"/>
              <w:ind w:left="65"/>
              <w:rPr>
                <w:rFonts w:ascii="Arial" w:hAnsi="Arial" w:cs="Arial"/>
                <w:b/>
                <w:sz w:val="18"/>
                <w:szCs w:val="18"/>
              </w:rPr>
            </w:pPr>
            <w:r w:rsidRPr="00132755">
              <w:rPr>
                <w:rFonts w:ascii="Arial" w:hAnsi="Arial" w:cs="Arial"/>
                <w:b/>
                <w:w w:val="105"/>
                <w:sz w:val="18"/>
                <w:szCs w:val="18"/>
              </w:rPr>
              <w:t>General Tier 5  (+0.13)</w:t>
            </w:r>
          </w:p>
        </w:tc>
        <w:tc>
          <w:tcPr>
            <w:tcW w:w="2370" w:type="dxa"/>
          </w:tcPr>
          <w:p w14:paraId="4C6B75BF" w14:textId="77777777" w:rsidR="00132755" w:rsidRPr="00132755" w:rsidRDefault="00132755" w:rsidP="0082041A">
            <w:pPr>
              <w:pStyle w:val="TableParagraph"/>
              <w:spacing w:before="43"/>
              <w:ind w:left="823" w:right="757"/>
              <w:jc w:val="center"/>
              <w:rPr>
                <w:rFonts w:ascii="Arial" w:hAnsi="Arial" w:cs="Arial"/>
                <w:b/>
                <w:sz w:val="18"/>
                <w:szCs w:val="18"/>
              </w:rPr>
            </w:pPr>
            <w:r w:rsidRPr="00132755">
              <w:rPr>
                <w:rFonts w:ascii="Arial" w:hAnsi="Arial" w:cs="Arial"/>
                <w:b/>
                <w:sz w:val="18"/>
                <w:szCs w:val="18"/>
              </w:rPr>
              <w:t>7.17%</w:t>
            </w:r>
          </w:p>
        </w:tc>
        <w:tc>
          <w:tcPr>
            <w:tcW w:w="1900" w:type="dxa"/>
          </w:tcPr>
          <w:p w14:paraId="5190F894" w14:textId="77777777" w:rsidR="00132755" w:rsidRPr="00132755" w:rsidRDefault="00132755" w:rsidP="0082041A">
            <w:pPr>
              <w:pStyle w:val="TableParagraph"/>
              <w:spacing w:before="38"/>
              <w:ind w:right="467"/>
              <w:jc w:val="right"/>
              <w:rPr>
                <w:rFonts w:ascii="Arial" w:hAnsi="Arial" w:cs="Arial"/>
                <w:b/>
                <w:sz w:val="18"/>
                <w:szCs w:val="18"/>
              </w:rPr>
            </w:pPr>
            <w:r w:rsidRPr="00132755">
              <w:rPr>
                <w:rFonts w:ascii="Arial" w:hAnsi="Arial" w:cs="Arial"/>
                <w:b/>
                <w:w w:val="90"/>
                <w:sz w:val="18"/>
                <w:szCs w:val="18"/>
              </w:rPr>
              <w:t>7.30%</w:t>
            </w:r>
          </w:p>
        </w:tc>
      </w:tr>
      <w:tr w:rsidR="00132755" w:rsidRPr="00132755" w14:paraId="6CF874C1" w14:textId="77777777" w:rsidTr="0082041A">
        <w:trPr>
          <w:trHeight w:val="360"/>
        </w:trPr>
        <w:tc>
          <w:tcPr>
            <w:tcW w:w="2529" w:type="dxa"/>
          </w:tcPr>
          <w:p w14:paraId="429EBCD2" w14:textId="77777777" w:rsidR="00132755" w:rsidRPr="00132755" w:rsidRDefault="00132755" w:rsidP="0082041A">
            <w:pPr>
              <w:pStyle w:val="TableParagraph"/>
              <w:spacing w:before="48"/>
              <w:ind w:left="54"/>
              <w:rPr>
                <w:rFonts w:ascii="Arial" w:hAnsi="Arial" w:cs="Arial"/>
                <w:b/>
                <w:sz w:val="18"/>
                <w:szCs w:val="18"/>
              </w:rPr>
            </w:pPr>
            <w:r w:rsidRPr="00132755">
              <w:rPr>
                <w:rFonts w:ascii="Arial" w:hAnsi="Arial" w:cs="Arial"/>
                <w:b/>
                <w:sz w:val="18"/>
                <w:szCs w:val="18"/>
              </w:rPr>
              <w:t>Safety Tier 1      (-0.78)</w:t>
            </w:r>
          </w:p>
        </w:tc>
        <w:tc>
          <w:tcPr>
            <w:tcW w:w="2370" w:type="dxa"/>
          </w:tcPr>
          <w:p w14:paraId="5EBE8A45" w14:textId="77777777" w:rsidR="00132755" w:rsidRPr="00132755" w:rsidRDefault="00132755" w:rsidP="0082041A">
            <w:pPr>
              <w:pStyle w:val="TableParagraph"/>
              <w:spacing w:before="48"/>
              <w:ind w:left="823" w:right="777"/>
              <w:jc w:val="center"/>
              <w:rPr>
                <w:rFonts w:ascii="Arial" w:hAnsi="Arial" w:cs="Arial"/>
                <w:b/>
                <w:sz w:val="18"/>
                <w:szCs w:val="18"/>
              </w:rPr>
            </w:pPr>
            <w:r w:rsidRPr="00132755">
              <w:rPr>
                <w:rFonts w:ascii="Arial" w:hAnsi="Arial" w:cs="Arial"/>
                <w:b/>
                <w:sz w:val="18"/>
                <w:szCs w:val="18"/>
              </w:rPr>
              <w:t>13.31%</w:t>
            </w:r>
          </w:p>
        </w:tc>
        <w:tc>
          <w:tcPr>
            <w:tcW w:w="1900" w:type="dxa"/>
          </w:tcPr>
          <w:p w14:paraId="4ECB6BEE" w14:textId="77777777" w:rsidR="00132755" w:rsidRPr="00132755" w:rsidRDefault="00132755" w:rsidP="0082041A">
            <w:pPr>
              <w:pStyle w:val="TableParagraph"/>
              <w:spacing w:before="43"/>
              <w:ind w:right="413"/>
              <w:jc w:val="right"/>
              <w:rPr>
                <w:rFonts w:ascii="Arial" w:hAnsi="Arial" w:cs="Arial"/>
                <w:b/>
                <w:sz w:val="18"/>
                <w:szCs w:val="18"/>
              </w:rPr>
            </w:pPr>
            <w:r w:rsidRPr="00132755">
              <w:rPr>
                <w:rFonts w:ascii="Arial" w:hAnsi="Arial" w:cs="Arial"/>
                <w:b/>
                <w:w w:val="95"/>
                <w:sz w:val="18"/>
                <w:szCs w:val="18"/>
              </w:rPr>
              <w:t>12.53%</w:t>
            </w:r>
          </w:p>
        </w:tc>
      </w:tr>
      <w:tr w:rsidR="00132755" w:rsidRPr="00132755" w14:paraId="45DBCA6D" w14:textId="77777777" w:rsidTr="0082041A">
        <w:trPr>
          <w:trHeight w:val="358"/>
        </w:trPr>
        <w:tc>
          <w:tcPr>
            <w:tcW w:w="2529" w:type="dxa"/>
          </w:tcPr>
          <w:p w14:paraId="12A41484" w14:textId="77777777" w:rsidR="00132755" w:rsidRPr="00132755" w:rsidRDefault="00132755" w:rsidP="0082041A">
            <w:pPr>
              <w:pStyle w:val="TableParagraph"/>
              <w:spacing w:before="43"/>
              <w:ind w:left="50"/>
              <w:rPr>
                <w:rFonts w:ascii="Arial" w:hAnsi="Arial" w:cs="Arial"/>
                <w:b/>
                <w:sz w:val="18"/>
                <w:szCs w:val="18"/>
              </w:rPr>
            </w:pPr>
            <w:r w:rsidRPr="00132755">
              <w:rPr>
                <w:rFonts w:ascii="Arial" w:hAnsi="Arial" w:cs="Arial"/>
                <w:b/>
                <w:w w:val="105"/>
                <w:sz w:val="18"/>
                <w:szCs w:val="18"/>
              </w:rPr>
              <w:t>Safety Tier 2     (-0.24)</w:t>
            </w:r>
          </w:p>
        </w:tc>
        <w:tc>
          <w:tcPr>
            <w:tcW w:w="2370" w:type="dxa"/>
          </w:tcPr>
          <w:p w14:paraId="3BB3BDEE" w14:textId="77777777" w:rsidR="00132755" w:rsidRPr="00132755" w:rsidRDefault="00132755" w:rsidP="0082041A">
            <w:pPr>
              <w:pStyle w:val="TableParagraph"/>
              <w:spacing w:before="43"/>
              <w:ind w:left="823" w:right="787"/>
              <w:jc w:val="center"/>
              <w:rPr>
                <w:rFonts w:ascii="Arial" w:hAnsi="Arial" w:cs="Arial"/>
                <w:b/>
                <w:sz w:val="18"/>
                <w:szCs w:val="18"/>
              </w:rPr>
            </w:pPr>
            <w:r w:rsidRPr="00132755">
              <w:rPr>
                <w:rFonts w:ascii="Arial" w:hAnsi="Arial" w:cs="Arial"/>
                <w:b/>
                <w:sz w:val="18"/>
                <w:szCs w:val="18"/>
              </w:rPr>
              <w:t>11.64%</w:t>
            </w:r>
          </w:p>
        </w:tc>
        <w:tc>
          <w:tcPr>
            <w:tcW w:w="1900" w:type="dxa"/>
          </w:tcPr>
          <w:p w14:paraId="798A3337" w14:textId="77777777" w:rsidR="00132755" w:rsidRPr="00132755" w:rsidRDefault="00132755" w:rsidP="0082041A">
            <w:pPr>
              <w:pStyle w:val="TableParagraph"/>
              <w:spacing w:before="38"/>
              <w:ind w:right="420"/>
              <w:jc w:val="right"/>
              <w:rPr>
                <w:rFonts w:ascii="Arial" w:hAnsi="Arial" w:cs="Arial"/>
                <w:b/>
                <w:sz w:val="18"/>
                <w:szCs w:val="18"/>
              </w:rPr>
            </w:pPr>
            <w:r w:rsidRPr="00132755">
              <w:rPr>
                <w:rFonts w:ascii="Arial" w:hAnsi="Arial" w:cs="Arial"/>
                <w:b/>
                <w:w w:val="95"/>
                <w:sz w:val="18"/>
                <w:szCs w:val="18"/>
              </w:rPr>
              <w:t>11.40%</w:t>
            </w:r>
          </w:p>
        </w:tc>
      </w:tr>
      <w:tr w:rsidR="00132755" w:rsidRPr="00132755" w14:paraId="0DBD671B" w14:textId="77777777" w:rsidTr="0082041A">
        <w:trPr>
          <w:trHeight w:val="358"/>
        </w:trPr>
        <w:tc>
          <w:tcPr>
            <w:tcW w:w="2529" w:type="dxa"/>
          </w:tcPr>
          <w:p w14:paraId="1BF1A4C5" w14:textId="77777777" w:rsidR="00132755" w:rsidRPr="00132755" w:rsidRDefault="00132755" w:rsidP="0082041A">
            <w:pPr>
              <w:pStyle w:val="TableParagraph"/>
              <w:spacing w:before="45"/>
              <w:ind w:left="50"/>
              <w:rPr>
                <w:rFonts w:ascii="Arial" w:hAnsi="Arial" w:cs="Arial"/>
                <w:b/>
                <w:i/>
                <w:sz w:val="18"/>
                <w:szCs w:val="18"/>
              </w:rPr>
            </w:pPr>
            <w:r w:rsidRPr="00132755">
              <w:rPr>
                <w:rFonts w:ascii="Arial" w:hAnsi="Arial" w:cs="Arial"/>
                <w:b/>
                <w:w w:val="105"/>
                <w:sz w:val="18"/>
                <w:szCs w:val="18"/>
              </w:rPr>
              <w:t>Safety Tier 4     (+0.14)</w:t>
            </w:r>
          </w:p>
        </w:tc>
        <w:tc>
          <w:tcPr>
            <w:tcW w:w="2370" w:type="dxa"/>
          </w:tcPr>
          <w:p w14:paraId="204AE5FF" w14:textId="77777777" w:rsidR="00132755" w:rsidRPr="00132755" w:rsidRDefault="00132755" w:rsidP="0082041A">
            <w:pPr>
              <w:pStyle w:val="TableParagraph"/>
              <w:spacing w:before="45"/>
              <w:ind w:left="823" w:right="787"/>
              <w:jc w:val="center"/>
              <w:rPr>
                <w:rFonts w:ascii="Arial" w:hAnsi="Arial" w:cs="Arial"/>
                <w:b/>
                <w:sz w:val="18"/>
                <w:szCs w:val="18"/>
              </w:rPr>
            </w:pPr>
            <w:r w:rsidRPr="00132755">
              <w:rPr>
                <w:rFonts w:ascii="Arial" w:hAnsi="Arial" w:cs="Arial"/>
                <w:b/>
                <w:sz w:val="18"/>
                <w:szCs w:val="18"/>
              </w:rPr>
              <w:t>10.08%</w:t>
            </w:r>
          </w:p>
        </w:tc>
        <w:tc>
          <w:tcPr>
            <w:tcW w:w="1900" w:type="dxa"/>
          </w:tcPr>
          <w:p w14:paraId="74662599" w14:textId="77777777" w:rsidR="00132755" w:rsidRPr="00132755" w:rsidRDefault="00132755" w:rsidP="0082041A">
            <w:pPr>
              <w:pStyle w:val="TableParagraph"/>
              <w:ind w:right="413"/>
              <w:jc w:val="right"/>
              <w:rPr>
                <w:rFonts w:ascii="Arial" w:hAnsi="Arial" w:cs="Arial"/>
                <w:b/>
                <w:sz w:val="18"/>
                <w:szCs w:val="18"/>
              </w:rPr>
            </w:pPr>
            <w:r w:rsidRPr="00132755">
              <w:rPr>
                <w:rFonts w:ascii="Arial" w:hAnsi="Arial" w:cs="Arial"/>
                <w:b/>
                <w:w w:val="95"/>
                <w:sz w:val="18"/>
                <w:szCs w:val="18"/>
              </w:rPr>
              <w:t>10.22%</w:t>
            </w:r>
          </w:p>
        </w:tc>
      </w:tr>
      <w:tr w:rsidR="00132755" w:rsidRPr="00132755" w14:paraId="4B64F63D" w14:textId="77777777" w:rsidTr="0082041A">
        <w:trPr>
          <w:trHeight w:val="312"/>
        </w:trPr>
        <w:tc>
          <w:tcPr>
            <w:tcW w:w="2529" w:type="dxa"/>
          </w:tcPr>
          <w:p w14:paraId="3629287D" w14:textId="77777777" w:rsidR="00132755" w:rsidRPr="00132755" w:rsidRDefault="00132755" w:rsidP="0082041A">
            <w:pPr>
              <w:pStyle w:val="TableParagraph"/>
              <w:spacing w:before="48" w:line="245" w:lineRule="exact"/>
              <w:ind w:left="50"/>
              <w:rPr>
                <w:rFonts w:ascii="Arial" w:hAnsi="Arial" w:cs="Arial"/>
                <w:b/>
                <w:sz w:val="18"/>
                <w:szCs w:val="18"/>
              </w:rPr>
            </w:pPr>
            <w:r w:rsidRPr="00132755">
              <w:rPr>
                <w:rFonts w:ascii="Arial" w:hAnsi="Arial" w:cs="Arial"/>
                <w:b/>
                <w:sz w:val="18"/>
                <w:szCs w:val="18"/>
              </w:rPr>
              <w:t>Safety Tier 5       (+0.04)</w:t>
            </w:r>
          </w:p>
        </w:tc>
        <w:tc>
          <w:tcPr>
            <w:tcW w:w="2370" w:type="dxa"/>
          </w:tcPr>
          <w:p w14:paraId="6403074B" w14:textId="77777777" w:rsidR="00132755" w:rsidRPr="00132755" w:rsidRDefault="00132755" w:rsidP="0082041A">
            <w:pPr>
              <w:pStyle w:val="TableParagraph"/>
              <w:spacing w:before="43" w:line="249" w:lineRule="exact"/>
              <w:ind w:left="814" w:right="787"/>
              <w:jc w:val="center"/>
              <w:rPr>
                <w:rFonts w:ascii="Arial" w:hAnsi="Arial" w:cs="Arial"/>
                <w:b/>
                <w:sz w:val="18"/>
                <w:szCs w:val="18"/>
              </w:rPr>
            </w:pPr>
            <w:r w:rsidRPr="00132755">
              <w:rPr>
                <w:rFonts w:ascii="Arial" w:hAnsi="Arial" w:cs="Arial"/>
                <w:b/>
                <w:sz w:val="18"/>
                <w:szCs w:val="18"/>
              </w:rPr>
              <w:t>11.92%</w:t>
            </w:r>
          </w:p>
        </w:tc>
        <w:tc>
          <w:tcPr>
            <w:tcW w:w="1900" w:type="dxa"/>
          </w:tcPr>
          <w:p w14:paraId="633BB7D0" w14:textId="77777777" w:rsidR="00132755" w:rsidRPr="00132755" w:rsidRDefault="00132755" w:rsidP="0082041A">
            <w:pPr>
              <w:pStyle w:val="TableParagraph"/>
              <w:spacing w:before="38" w:line="254" w:lineRule="exact"/>
              <w:ind w:right="418"/>
              <w:jc w:val="right"/>
              <w:rPr>
                <w:rFonts w:ascii="Arial" w:hAnsi="Arial" w:cs="Arial"/>
                <w:b/>
                <w:w w:val="95"/>
                <w:sz w:val="18"/>
                <w:szCs w:val="18"/>
              </w:rPr>
            </w:pPr>
            <w:r w:rsidRPr="00132755">
              <w:rPr>
                <w:rFonts w:ascii="Arial" w:hAnsi="Arial" w:cs="Arial"/>
                <w:b/>
                <w:w w:val="95"/>
                <w:sz w:val="18"/>
                <w:szCs w:val="18"/>
              </w:rPr>
              <w:t>11.96%</w:t>
            </w:r>
          </w:p>
          <w:p w14:paraId="0507922A" w14:textId="77777777" w:rsidR="00132755" w:rsidRPr="00132755" w:rsidRDefault="00132755" w:rsidP="0082041A">
            <w:pPr>
              <w:pStyle w:val="TableParagraph"/>
              <w:spacing w:before="38" w:line="254" w:lineRule="exact"/>
              <w:ind w:right="418"/>
              <w:jc w:val="right"/>
              <w:rPr>
                <w:rFonts w:ascii="Arial" w:hAnsi="Arial" w:cs="Arial"/>
                <w:b/>
                <w:w w:val="95"/>
                <w:sz w:val="18"/>
                <w:szCs w:val="18"/>
              </w:rPr>
            </w:pPr>
          </w:p>
          <w:p w14:paraId="0E7F0271" w14:textId="77777777" w:rsidR="00132755" w:rsidRPr="00132755" w:rsidRDefault="00132755" w:rsidP="0082041A">
            <w:pPr>
              <w:pStyle w:val="TableParagraph"/>
              <w:spacing w:before="38" w:line="254" w:lineRule="exact"/>
              <w:ind w:right="418"/>
              <w:rPr>
                <w:rFonts w:ascii="Arial" w:hAnsi="Arial" w:cs="Arial"/>
                <w:b/>
                <w:w w:val="95"/>
                <w:sz w:val="18"/>
                <w:szCs w:val="18"/>
              </w:rPr>
            </w:pPr>
          </w:p>
          <w:p w14:paraId="398D70D5" w14:textId="77777777" w:rsidR="00132755" w:rsidRPr="00132755" w:rsidRDefault="00132755" w:rsidP="0082041A">
            <w:pPr>
              <w:pStyle w:val="TableParagraph"/>
              <w:spacing w:before="38" w:line="254" w:lineRule="exact"/>
              <w:ind w:right="418"/>
              <w:rPr>
                <w:rFonts w:ascii="Arial" w:hAnsi="Arial" w:cs="Arial"/>
                <w:b/>
                <w:w w:val="95"/>
                <w:sz w:val="18"/>
                <w:szCs w:val="18"/>
              </w:rPr>
            </w:pPr>
          </w:p>
          <w:p w14:paraId="022E75AC" w14:textId="77777777" w:rsidR="00132755" w:rsidRPr="00132755" w:rsidRDefault="00132755" w:rsidP="0082041A">
            <w:pPr>
              <w:pStyle w:val="TableParagraph"/>
              <w:spacing w:before="38" w:line="254" w:lineRule="exact"/>
              <w:ind w:right="418"/>
              <w:rPr>
                <w:rFonts w:ascii="Arial" w:hAnsi="Arial" w:cs="Arial"/>
                <w:b/>
                <w:sz w:val="18"/>
                <w:szCs w:val="18"/>
              </w:rPr>
            </w:pPr>
          </w:p>
        </w:tc>
      </w:tr>
    </w:tbl>
    <w:p w14:paraId="7B476930" w14:textId="0079342A" w:rsidR="00132755" w:rsidRDefault="00132755" w:rsidP="00132755">
      <w:pPr>
        <w:pStyle w:val="Heading1"/>
        <w:rPr>
          <w:rFonts w:ascii="Arial" w:hAnsi="Arial" w:cs="Arial"/>
          <w:b w:val="0"/>
          <w:color w:val="212121"/>
        </w:rPr>
      </w:pPr>
      <w:r w:rsidRPr="00132755">
        <w:rPr>
          <w:rFonts w:ascii="Arial" w:hAnsi="Arial" w:cs="Arial"/>
          <w:b w:val="0"/>
          <w:color w:val="212121"/>
        </w:rPr>
        <w:t>As you can see from the above table – the pension system is doing</w:t>
      </w:r>
      <w:r w:rsidR="00E9661B">
        <w:rPr>
          <w:rFonts w:ascii="Arial" w:hAnsi="Arial" w:cs="Arial"/>
          <w:b w:val="0"/>
          <w:color w:val="212121"/>
        </w:rPr>
        <w:t xml:space="preserve"> very well with very little </w:t>
      </w:r>
      <w:r w:rsidRPr="00132755">
        <w:rPr>
          <w:rFonts w:ascii="Arial" w:hAnsi="Arial" w:cs="Arial"/>
          <w:b w:val="0"/>
          <w:color w:val="212121"/>
        </w:rPr>
        <w:t xml:space="preserve">increase to employee cost, or even a reduction to the employees in some of the groups. </w:t>
      </w:r>
    </w:p>
    <w:p w14:paraId="44D2E6EE" w14:textId="69F210BA" w:rsidR="00E9661B" w:rsidRDefault="00E9661B" w:rsidP="00132755">
      <w:pPr>
        <w:pStyle w:val="Heading1"/>
        <w:rPr>
          <w:rFonts w:ascii="Arial" w:hAnsi="Arial" w:cs="Arial"/>
          <w:b w:val="0"/>
          <w:color w:val="212121"/>
        </w:rPr>
      </w:pPr>
    </w:p>
    <w:p w14:paraId="067893D4" w14:textId="5ACBE0D7" w:rsidR="00E9661B" w:rsidRDefault="00E9661B" w:rsidP="00132755">
      <w:pPr>
        <w:pStyle w:val="Heading1"/>
        <w:rPr>
          <w:rFonts w:ascii="Arial" w:hAnsi="Arial" w:cs="Arial"/>
          <w:b w:val="0"/>
          <w:color w:val="212121"/>
        </w:rPr>
      </w:pPr>
    </w:p>
    <w:p w14:paraId="5A7D741E" w14:textId="77777777" w:rsidR="00E9661B" w:rsidRPr="00132755" w:rsidRDefault="00E9661B" w:rsidP="00132755">
      <w:pPr>
        <w:pStyle w:val="Heading1"/>
        <w:rPr>
          <w:rFonts w:ascii="Arial" w:hAnsi="Arial" w:cs="Arial"/>
          <w:b w:val="0"/>
          <w:color w:val="212121"/>
        </w:rPr>
      </w:pPr>
    </w:p>
    <w:p w14:paraId="7D9B3DE9" w14:textId="77777777" w:rsidR="00132755" w:rsidRPr="00132755" w:rsidRDefault="00132755" w:rsidP="00132755">
      <w:pPr>
        <w:pStyle w:val="Heading1"/>
        <w:ind w:firstLine="10"/>
        <w:rPr>
          <w:rFonts w:ascii="Arial" w:hAnsi="Arial" w:cs="Arial"/>
          <w:color w:val="212121"/>
        </w:rPr>
      </w:pPr>
    </w:p>
    <w:p w14:paraId="47A30E01" w14:textId="19DC7ED7" w:rsidR="00132755" w:rsidRDefault="00132755" w:rsidP="00132755">
      <w:pPr>
        <w:pStyle w:val="Heading1"/>
        <w:rPr>
          <w:rFonts w:ascii="Arial" w:hAnsi="Arial" w:cs="Arial"/>
          <w:color w:val="212121"/>
        </w:rPr>
      </w:pPr>
      <w:r w:rsidRPr="00132755">
        <w:rPr>
          <w:rFonts w:ascii="Arial" w:hAnsi="Arial" w:cs="Arial"/>
          <w:color w:val="212121"/>
        </w:rPr>
        <w:t>BOTH CalPERS AND CalSTRS ARE IN SOUND FISCAL SHAPE</w:t>
      </w:r>
    </w:p>
    <w:p w14:paraId="3AFAACB6" w14:textId="77777777" w:rsidR="00E9661B" w:rsidRPr="00132755" w:rsidRDefault="00E9661B" w:rsidP="00132755">
      <w:pPr>
        <w:pStyle w:val="Heading1"/>
        <w:rPr>
          <w:rFonts w:ascii="Arial" w:hAnsi="Arial" w:cs="Arial"/>
        </w:rPr>
      </w:pPr>
    </w:p>
    <w:p w14:paraId="555D07AA" w14:textId="77777777" w:rsidR="00132755" w:rsidRPr="00132755" w:rsidRDefault="00132755" w:rsidP="00E9661B">
      <w:pPr>
        <w:pStyle w:val="BodyText"/>
        <w:ind w:left="100" w:right="114"/>
        <w:rPr>
          <w:rFonts w:ascii="Arial" w:hAnsi="Arial" w:cs="Arial"/>
        </w:rPr>
      </w:pPr>
      <w:r w:rsidRPr="00132755">
        <w:rPr>
          <w:rFonts w:ascii="Arial" w:hAnsi="Arial" w:cs="Arial"/>
          <w:color w:val="212121"/>
        </w:rPr>
        <w:t>CalSTRS and CalPERS are strong. Their cash flow is positive and their funded status is improving. CalPERS' market value reached $400 billion in January 2020, reaching a new landmark and reflecting a doubling of the fund's portfolio from 10 years ago. The fund's market value has grown by $27 billion in the last six months. That's more than it grew in the entire fiscal year that ended June 30, 2019, when it gained $18 billion in value. CalSTRS has holdings of nearly $224 billion, also nearly double that of 10 years ago.</w:t>
      </w:r>
    </w:p>
    <w:p w14:paraId="6CFBF3A6" w14:textId="77777777" w:rsidR="00132755" w:rsidRPr="00132755" w:rsidRDefault="00132755" w:rsidP="00132755">
      <w:pPr>
        <w:pStyle w:val="BodyText"/>
        <w:spacing w:before="11"/>
        <w:rPr>
          <w:rFonts w:ascii="Arial" w:hAnsi="Arial" w:cs="Arial"/>
        </w:rPr>
      </w:pPr>
    </w:p>
    <w:p w14:paraId="18BF20EB" w14:textId="3DC09B35" w:rsidR="00132755" w:rsidRDefault="00132755" w:rsidP="00132755">
      <w:pPr>
        <w:pStyle w:val="Heading1"/>
        <w:rPr>
          <w:rFonts w:ascii="Arial" w:hAnsi="Arial" w:cs="Arial"/>
          <w:color w:val="212121"/>
        </w:rPr>
      </w:pPr>
      <w:r w:rsidRPr="00132755">
        <w:rPr>
          <w:rFonts w:ascii="Arial" w:hAnsi="Arial" w:cs="Arial"/>
          <w:color w:val="212121"/>
        </w:rPr>
        <w:t>UNFUNDED LIABILITY IS ONLY ONE MEASUREMENT OF PENSION SYSTEM HEALTH</w:t>
      </w:r>
    </w:p>
    <w:p w14:paraId="210F18F9" w14:textId="77777777" w:rsidR="00E9661B" w:rsidRPr="00132755" w:rsidRDefault="00E9661B" w:rsidP="00132755">
      <w:pPr>
        <w:pStyle w:val="Heading1"/>
        <w:rPr>
          <w:rFonts w:ascii="Arial" w:hAnsi="Arial" w:cs="Arial"/>
        </w:rPr>
      </w:pPr>
    </w:p>
    <w:p w14:paraId="775E835A" w14:textId="77777777" w:rsidR="00132755" w:rsidRPr="00132755" w:rsidRDefault="00132755" w:rsidP="00E9661B">
      <w:pPr>
        <w:pStyle w:val="BodyText"/>
        <w:spacing w:before="3"/>
        <w:ind w:left="100" w:right="112"/>
        <w:rPr>
          <w:rFonts w:ascii="Arial" w:hAnsi="Arial" w:cs="Arial"/>
        </w:rPr>
      </w:pPr>
      <w:r w:rsidRPr="00132755">
        <w:rPr>
          <w:rFonts w:ascii="Arial" w:hAnsi="Arial" w:cs="Arial"/>
        </w:rPr>
        <w:t>Just looking at “unfunded liability” ignores important sources of system strength. According to a recent UC Berkeley study, it serves “not only to exaggerate the problems facing pension funds, but also provides a poor guide to addressing those problems.” Yet some politicians cite “unfunded liabilities” when they’re looking for an excuse to break their promise to police officers, firefighters, nurses, teachers, librarians and other public employees.</w:t>
      </w:r>
    </w:p>
    <w:p w14:paraId="7FE2056F" w14:textId="77777777" w:rsidR="00132755" w:rsidRPr="00132755" w:rsidRDefault="00132755" w:rsidP="00E9661B">
      <w:pPr>
        <w:pStyle w:val="BodyText"/>
        <w:spacing w:before="11"/>
        <w:rPr>
          <w:rFonts w:ascii="Arial" w:hAnsi="Arial" w:cs="Arial"/>
        </w:rPr>
      </w:pPr>
    </w:p>
    <w:p w14:paraId="1CF76957" w14:textId="77777777" w:rsidR="00132755" w:rsidRPr="00132755" w:rsidRDefault="00132755" w:rsidP="00E9661B">
      <w:pPr>
        <w:pStyle w:val="BodyText"/>
        <w:ind w:left="100" w:right="112"/>
        <w:rPr>
          <w:rFonts w:ascii="Arial" w:hAnsi="Arial" w:cs="Arial"/>
        </w:rPr>
      </w:pPr>
      <w:r w:rsidRPr="00132755">
        <w:rPr>
          <w:rFonts w:ascii="Arial" w:hAnsi="Arial" w:cs="Arial"/>
        </w:rPr>
        <w:t xml:space="preserve">Pension systems are long-term, perpetual entities. Like a home mortgage, there is a long-term liability, but the bill is not due immediately. Pensions are pre-funded with both employer and employee contributions, and the investment returns those contributions generate. Like the rest of us, pension systems suffered during the Great Recession, but now they’re rebounding. </w:t>
      </w:r>
    </w:p>
    <w:p w14:paraId="5A90E560" w14:textId="77777777" w:rsidR="00132755" w:rsidRPr="00132755" w:rsidRDefault="00132755" w:rsidP="00132755">
      <w:pPr>
        <w:rPr>
          <w:rFonts w:ascii="Arial" w:hAnsi="Arial" w:cs="Arial"/>
          <w:sz w:val="24"/>
          <w:szCs w:val="24"/>
        </w:rPr>
      </w:pPr>
    </w:p>
    <w:p w14:paraId="03BC8B9D" w14:textId="5B3DBE54" w:rsidR="00132755" w:rsidRDefault="00132755" w:rsidP="00132755">
      <w:pPr>
        <w:pStyle w:val="Heading1"/>
        <w:spacing w:before="3"/>
        <w:rPr>
          <w:rFonts w:ascii="Arial" w:hAnsi="Arial" w:cs="Arial"/>
          <w:color w:val="0D0D0D"/>
        </w:rPr>
      </w:pPr>
      <w:r w:rsidRPr="00132755">
        <w:rPr>
          <w:rFonts w:ascii="Arial" w:hAnsi="Arial" w:cs="Arial"/>
          <w:color w:val="0D0D0D"/>
        </w:rPr>
        <w:t>PENSIONS PROVIDE MODEST RETIREMENT SECURITY FOR CALIFORNIA’S PUBLIC SERVANTS</w:t>
      </w:r>
    </w:p>
    <w:p w14:paraId="6ABB8D5B" w14:textId="77777777" w:rsidR="00E9661B" w:rsidRPr="00132755" w:rsidRDefault="00E9661B" w:rsidP="00132755">
      <w:pPr>
        <w:pStyle w:val="Heading1"/>
        <w:spacing w:before="3"/>
        <w:rPr>
          <w:rFonts w:ascii="Arial" w:hAnsi="Arial" w:cs="Arial"/>
        </w:rPr>
      </w:pPr>
    </w:p>
    <w:p w14:paraId="300ED6EF" w14:textId="5CBBA5C1" w:rsidR="00132755" w:rsidRPr="00132755" w:rsidRDefault="00132755" w:rsidP="00E9661B">
      <w:pPr>
        <w:pStyle w:val="BodyText"/>
        <w:ind w:left="100" w:right="114"/>
        <w:rPr>
          <w:rFonts w:ascii="Arial" w:hAnsi="Arial" w:cs="Arial"/>
        </w:rPr>
      </w:pPr>
      <w:r w:rsidRPr="00132755">
        <w:rPr>
          <w:rFonts w:ascii="Arial" w:hAnsi="Arial" w:cs="Arial"/>
        </w:rPr>
        <w:t>At CalPERS, the average pension for retirees is $35,748 per year. A new retiree who just retired in fiscal year 2017-18 receives $40,596 per year. Overall, 63 percent of all CalPERS retirees receive less than $3,000 a month. And only 3.6 percent of CalPERS retirees receive pensions of</w:t>
      </w:r>
      <w:r w:rsidR="00E9661B">
        <w:rPr>
          <w:rFonts w:ascii="Arial" w:hAnsi="Arial" w:cs="Arial"/>
        </w:rPr>
        <w:t xml:space="preserve"> </w:t>
      </w:r>
      <w:r w:rsidRPr="00132755">
        <w:rPr>
          <w:rFonts w:ascii="Arial" w:hAnsi="Arial" w:cs="Arial"/>
        </w:rPr>
        <w:t>$100,000 per year or more -- these retirees are usually executives who hold seats in either city or county offices, or are physicians, or are senior managers for fire and police departments.</w:t>
      </w:r>
    </w:p>
    <w:p w14:paraId="44585914" w14:textId="77777777" w:rsidR="00132755" w:rsidRPr="00132755" w:rsidRDefault="00132755" w:rsidP="00E9661B">
      <w:pPr>
        <w:pStyle w:val="BodyText"/>
        <w:spacing w:before="11"/>
        <w:rPr>
          <w:rFonts w:ascii="Arial" w:hAnsi="Arial" w:cs="Arial"/>
        </w:rPr>
      </w:pPr>
    </w:p>
    <w:p w14:paraId="0C5E2E55" w14:textId="77777777" w:rsidR="00132755" w:rsidRPr="00132755" w:rsidRDefault="00132755" w:rsidP="00E9661B">
      <w:pPr>
        <w:pStyle w:val="BodyText"/>
        <w:ind w:left="100" w:right="114"/>
        <w:rPr>
          <w:rFonts w:ascii="Arial" w:hAnsi="Arial" w:cs="Arial"/>
        </w:rPr>
      </w:pPr>
      <w:r w:rsidRPr="00132755">
        <w:rPr>
          <w:rFonts w:ascii="Arial" w:hAnsi="Arial" w:cs="Arial"/>
        </w:rPr>
        <w:t>Unlike the private sector, about 33 percent of CalPERS members and retirees don’t participate in Social Security for benefits, so their CalPERS pension may be their sole source of retirement income.</w:t>
      </w:r>
    </w:p>
    <w:p w14:paraId="14243318" w14:textId="77777777" w:rsidR="00132755" w:rsidRPr="00132755" w:rsidRDefault="00132755" w:rsidP="00E9661B">
      <w:pPr>
        <w:pStyle w:val="BodyText"/>
        <w:rPr>
          <w:rFonts w:ascii="Arial" w:hAnsi="Arial" w:cs="Arial"/>
        </w:rPr>
      </w:pPr>
    </w:p>
    <w:p w14:paraId="4BC8ECBF" w14:textId="77777777" w:rsidR="00132755" w:rsidRPr="00132755" w:rsidRDefault="00132755" w:rsidP="00E9661B">
      <w:pPr>
        <w:pStyle w:val="BodyText"/>
        <w:ind w:left="100" w:right="119"/>
        <w:rPr>
          <w:rFonts w:ascii="Arial" w:hAnsi="Arial" w:cs="Arial"/>
        </w:rPr>
      </w:pPr>
      <w:r w:rsidRPr="00132755">
        <w:rPr>
          <w:rFonts w:ascii="Arial" w:hAnsi="Arial" w:cs="Arial"/>
        </w:rPr>
        <w:t>The average retirement age for all retirees is nearly age 60, while the average years of service is more than 20.</w:t>
      </w:r>
    </w:p>
    <w:p w14:paraId="762F2ABC" w14:textId="77777777" w:rsidR="00132755" w:rsidRPr="00132755" w:rsidRDefault="00132755" w:rsidP="00132755">
      <w:pPr>
        <w:rPr>
          <w:rFonts w:ascii="Arial" w:hAnsi="Arial" w:cs="Arial"/>
          <w:sz w:val="24"/>
          <w:szCs w:val="24"/>
        </w:rPr>
      </w:pPr>
    </w:p>
    <w:p w14:paraId="0374F68E" w14:textId="77777777" w:rsidR="00E9661B" w:rsidRDefault="00E9661B" w:rsidP="00132755">
      <w:pPr>
        <w:pStyle w:val="Heading1"/>
        <w:rPr>
          <w:rFonts w:ascii="Arial" w:hAnsi="Arial" w:cs="Arial"/>
        </w:rPr>
      </w:pPr>
    </w:p>
    <w:p w14:paraId="1BD78F97" w14:textId="77777777" w:rsidR="00E9661B" w:rsidRDefault="00E9661B" w:rsidP="00132755">
      <w:pPr>
        <w:pStyle w:val="Heading1"/>
        <w:rPr>
          <w:rFonts w:ascii="Arial" w:hAnsi="Arial" w:cs="Arial"/>
        </w:rPr>
      </w:pPr>
    </w:p>
    <w:p w14:paraId="0A8755DA" w14:textId="39235744" w:rsidR="00132755" w:rsidRDefault="00132755" w:rsidP="00132755">
      <w:pPr>
        <w:pStyle w:val="Heading1"/>
        <w:rPr>
          <w:rFonts w:ascii="Arial" w:hAnsi="Arial" w:cs="Arial"/>
        </w:rPr>
      </w:pPr>
      <w:r w:rsidRPr="00132755">
        <w:rPr>
          <w:rFonts w:ascii="Arial" w:hAnsi="Arial" w:cs="Arial"/>
        </w:rPr>
        <w:t>TAXPAYERS DON’T PAY FOR THE BULK OF PENSIONS</w:t>
      </w:r>
    </w:p>
    <w:p w14:paraId="23C0D246" w14:textId="77777777" w:rsidR="00E9661B" w:rsidRPr="00132755" w:rsidRDefault="00E9661B" w:rsidP="00132755">
      <w:pPr>
        <w:pStyle w:val="Heading1"/>
        <w:rPr>
          <w:rFonts w:ascii="Arial" w:hAnsi="Arial" w:cs="Arial"/>
        </w:rPr>
      </w:pPr>
    </w:p>
    <w:p w14:paraId="04F540E0" w14:textId="77777777" w:rsidR="00132755" w:rsidRPr="00132755" w:rsidRDefault="00132755" w:rsidP="00E9661B">
      <w:pPr>
        <w:pStyle w:val="BodyText"/>
        <w:spacing w:before="3"/>
        <w:ind w:left="100" w:right="286"/>
        <w:rPr>
          <w:rFonts w:ascii="Arial" w:hAnsi="Arial" w:cs="Arial"/>
        </w:rPr>
      </w:pPr>
      <w:r w:rsidRPr="00132755">
        <w:rPr>
          <w:rFonts w:ascii="Arial" w:hAnsi="Arial" w:cs="Arial"/>
        </w:rPr>
        <w:t>Some people believe that taxpayers fund the total cost of public pensions. This is not true. At CalPERS, the largest contribution comes from investment return dollars, with additional, ongoing funding from employer and employee contributions. Workers currently contribute up to 15.25 percent of their paychecks to help fund their own pensions.</w:t>
      </w:r>
    </w:p>
    <w:p w14:paraId="4FC67916" w14:textId="77777777" w:rsidR="00132755" w:rsidRPr="00132755" w:rsidRDefault="00132755" w:rsidP="00E9661B">
      <w:pPr>
        <w:pStyle w:val="BodyText"/>
        <w:spacing w:before="139"/>
        <w:ind w:left="100" w:right="119"/>
        <w:rPr>
          <w:rFonts w:ascii="Arial" w:hAnsi="Arial" w:cs="Arial"/>
        </w:rPr>
      </w:pPr>
      <w:r w:rsidRPr="00132755">
        <w:rPr>
          <w:rFonts w:ascii="Arial" w:hAnsi="Arial" w:cs="Arial"/>
        </w:rPr>
        <w:t>In other words, 71 cents out of every public employee pension dollar is funded by CalPERS' own investment earnings and member contributions. In the fiscal year ended June 2019, CalPERS paid out nearly $24.2 billion in pension benefits.</w:t>
      </w:r>
    </w:p>
    <w:p w14:paraId="0C20252D" w14:textId="77777777" w:rsidR="00132755" w:rsidRPr="00132755" w:rsidRDefault="00132755" w:rsidP="00E9661B">
      <w:pPr>
        <w:pStyle w:val="BodyText"/>
        <w:spacing w:before="3"/>
        <w:ind w:left="100" w:right="115"/>
        <w:rPr>
          <w:rFonts w:ascii="Arial" w:hAnsi="Arial" w:cs="Arial"/>
        </w:rPr>
      </w:pPr>
      <w:r w:rsidRPr="00132755">
        <w:rPr>
          <w:rFonts w:ascii="Arial" w:hAnsi="Arial" w:cs="Arial"/>
          <w:color w:val="212121"/>
        </w:rPr>
        <w:t>Public workers' contributions to our pension systems have been increasing. During the last 20 years, contributions from public workers accounted for about 13 percent of the system's benefit payments, while contributions from the state made up about 29 percent. The remaining payments have come from CalPERS' investment</w:t>
      </w:r>
      <w:r w:rsidRPr="00132755">
        <w:rPr>
          <w:rFonts w:ascii="Arial" w:hAnsi="Arial" w:cs="Arial"/>
          <w:color w:val="212121"/>
          <w:spacing w:val="-6"/>
        </w:rPr>
        <w:t xml:space="preserve"> </w:t>
      </w:r>
      <w:r w:rsidRPr="00132755">
        <w:rPr>
          <w:rFonts w:ascii="Arial" w:hAnsi="Arial" w:cs="Arial"/>
          <w:color w:val="212121"/>
        </w:rPr>
        <w:t>earnings.</w:t>
      </w:r>
    </w:p>
    <w:p w14:paraId="483EDD34" w14:textId="77777777" w:rsidR="00132755" w:rsidRPr="00132755" w:rsidRDefault="00132755" w:rsidP="00E9661B">
      <w:pPr>
        <w:pStyle w:val="BodyText"/>
        <w:spacing w:before="11"/>
        <w:rPr>
          <w:rFonts w:ascii="Arial" w:hAnsi="Arial" w:cs="Arial"/>
        </w:rPr>
      </w:pPr>
    </w:p>
    <w:p w14:paraId="2EB8F406" w14:textId="77777777" w:rsidR="00132755" w:rsidRPr="00132755" w:rsidRDefault="00132755" w:rsidP="00E9661B">
      <w:pPr>
        <w:pStyle w:val="BodyText"/>
        <w:ind w:left="100" w:right="119"/>
        <w:rPr>
          <w:rFonts w:ascii="Arial" w:hAnsi="Arial" w:cs="Arial"/>
        </w:rPr>
      </w:pPr>
      <w:r w:rsidRPr="00132755">
        <w:rPr>
          <w:rFonts w:ascii="Arial" w:hAnsi="Arial" w:cs="Arial"/>
          <w:color w:val="212121"/>
        </w:rPr>
        <w:t>In recent years, state workers have been moving closer to a 50/50 split in contributing to their pensions along with their employers. The state's estimated contribution for the present fiscal year is about $5.9 billion, according to Gov. Gavin Newsom's recent budget proposal.</w:t>
      </w:r>
    </w:p>
    <w:p w14:paraId="087665BF" w14:textId="77777777" w:rsidR="00132755" w:rsidRPr="00132755" w:rsidRDefault="00132755" w:rsidP="00132755">
      <w:pPr>
        <w:pStyle w:val="BodyText"/>
        <w:spacing w:before="11"/>
        <w:rPr>
          <w:rFonts w:ascii="Arial" w:hAnsi="Arial" w:cs="Arial"/>
        </w:rPr>
      </w:pPr>
    </w:p>
    <w:p w14:paraId="412A0284" w14:textId="77777777" w:rsidR="00132755" w:rsidRPr="00132755" w:rsidRDefault="00132755" w:rsidP="00E9661B">
      <w:pPr>
        <w:pStyle w:val="BodyText"/>
        <w:ind w:left="100" w:right="112"/>
        <w:rPr>
          <w:rFonts w:ascii="Arial" w:hAnsi="Arial" w:cs="Arial"/>
        </w:rPr>
      </w:pPr>
      <w:r w:rsidRPr="00132755">
        <w:rPr>
          <w:rFonts w:ascii="Arial" w:hAnsi="Arial" w:cs="Arial"/>
          <w:noProof/>
          <w:lang w:bidi="ar-SA"/>
        </w:rPr>
        <mc:AlternateContent>
          <mc:Choice Requires="wps">
            <w:drawing>
              <wp:anchor distT="0" distB="0" distL="114300" distR="114300" simplePos="0" relativeHeight="251659264" behindDoc="1" locked="0" layoutInCell="1" allowOverlap="1" wp14:anchorId="66003CA1" wp14:editId="3222E007">
                <wp:simplePos x="0" y="0"/>
                <wp:positionH relativeFrom="page">
                  <wp:posOffset>914400</wp:posOffset>
                </wp:positionH>
                <wp:positionV relativeFrom="paragraph">
                  <wp:posOffset>372110</wp:posOffset>
                </wp:positionV>
                <wp:extent cx="5944870" cy="372745"/>
                <wp:effectExtent l="0" t="635"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372745"/>
                        </a:xfrm>
                        <a:custGeom>
                          <a:avLst/>
                          <a:gdLst>
                            <a:gd name="T0" fmla="+- 0 10802 1440"/>
                            <a:gd name="T1" fmla="*/ T0 w 9362"/>
                            <a:gd name="T2" fmla="+- 0 586 586"/>
                            <a:gd name="T3" fmla="*/ 586 h 587"/>
                            <a:gd name="T4" fmla="+- 0 1440 1440"/>
                            <a:gd name="T5" fmla="*/ T4 w 9362"/>
                            <a:gd name="T6" fmla="+- 0 586 586"/>
                            <a:gd name="T7" fmla="*/ 586 h 587"/>
                            <a:gd name="T8" fmla="+- 0 1440 1440"/>
                            <a:gd name="T9" fmla="*/ T8 w 9362"/>
                            <a:gd name="T10" fmla="+- 0 880 586"/>
                            <a:gd name="T11" fmla="*/ 880 h 587"/>
                            <a:gd name="T12" fmla="+- 0 1440 1440"/>
                            <a:gd name="T13" fmla="*/ T12 w 9362"/>
                            <a:gd name="T14" fmla="+- 0 1172 586"/>
                            <a:gd name="T15" fmla="*/ 1172 h 587"/>
                            <a:gd name="T16" fmla="+- 0 10802 1440"/>
                            <a:gd name="T17" fmla="*/ T16 w 9362"/>
                            <a:gd name="T18" fmla="+- 0 1172 586"/>
                            <a:gd name="T19" fmla="*/ 1172 h 587"/>
                            <a:gd name="T20" fmla="+- 0 10802 1440"/>
                            <a:gd name="T21" fmla="*/ T20 w 9362"/>
                            <a:gd name="T22" fmla="+- 0 880 586"/>
                            <a:gd name="T23" fmla="*/ 880 h 587"/>
                            <a:gd name="T24" fmla="+- 0 10802 1440"/>
                            <a:gd name="T25" fmla="*/ T24 w 9362"/>
                            <a:gd name="T26" fmla="+- 0 586 586"/>
                            <a:gd name="T27" fmla="*/ 586 h 587"/>
                          </a:gdLst>
                          <a:ahLst/>
                          <a:cxnLst>
                            <a:cxn ang="0">
                              <a:pos x="T1" y="T3"/>
                            </a:cxn>
                            <a:cxn ang="0">
                              <a:pos x="T5" y="T7"/>
                            </a:cxn>
                            <a:cxn ang="0">
                              <a:pos x="T9" y="T11"/>
                            </a:cxn>
                            <a:cxn ang="0">
                              <a:pos x="T13" y="T15"/>
                            </a:cxn>
                            <a:cxn ang="0">
                              <a:pos x="T17" y="T19"/>
                            </a:cxn>
                            <a:cxn ang="0">
                              <a:pos x="T21" y="T23"/>
                            </a:cxn>
                            <a:cxn ang="0">
                              <a:pos x="T25" y="T27"/>
                            </a:cxn>
                          </a:cxnLst>
                          <a:rect l="0" t="0" r="r" b="b"/>
                          <a:pathLst>
                            <a:path w="9362" h="587">
                              <a:moveTo>
                                <a:pt x="9362" y="0"/>
                              </a:moveTo>
                              <a:lnTo>
                                <a:pt x="0" y="0"/>
                              </a:lnTo>
                              <a:lnTo>
                                <a:pt x="0" y="294"/>
                              </a:lnTo>
                              <a:lnTo>
                                <a:pt x="0" y="586"/>
                              </a:lnTo>
                              <a:lnTo>
                                <a:pt x="9362" y="586"/>
                              </a:lnTo>
                              <a:lnTo>
                                <a:pt x="9362" y="294"/>
                              </a:lnTo>
                              <a:lnTo>
                                <a:pt x="9362" y="0"/>
                              </a:lnTo>
                            </a:path>
                          </a:pathLst>
                        </a:custGeom>
                        <a:solidFill>
                          <a:srgbClr val="FA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3D4106" id="Freeform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0.1pt,29.3pt,1in,29.3pt,1in,44pt,1in,58.6pt,540.1pt,58.6pt,540.1pt,44pt,540.1pt,29.3pt" coordsize="936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" fillcolor="#fafafa" stroked="f">
                <v:path arrowok="t" o:connecttype="custom" o:connectlocs="5944870,372110;0,372110;0,558800;0,744220;5944870,744220;5944870,558800;5944870,372110" o:connectangles="0,0,0,0,0,0,0"/>
                <w10:wrap anchorx="page"/>
              </v:polyline>
            </w:pict>
          </mc:Fallback>
        </mc:AlternateContent>
      </w:r>
      <w:r w:rsidRPr="00132755">
        <w:rPr>
          <w:rFonts w:ascii="Arial" w:hAnsi="Arial" w:cs="Arial"/>
          <w:color w:val="212121"/>
        </w:rPr>
        <w:t xml:space="preserve">Pension “reforms” passed by a bipartisan majority in the Legislature and signed by Governor Jerry Brown took effect in January 2013. These changes </w:t>
      </w:r>
      <w:r w:rsidRPr="00132755">
        <w:rPr>
          <w:rFonts w:ascii="Arial" w:hAnsi="Arial" w:cs="Arial"/>
          <w:shd w:val="clear" w:color="auto" w:fill="FAFAFA"/>
        </w:rPr>
        <w:t>increased the retirement age for new</w:t>
      </w:r>
      <w:r w:rsidRPr="00132755">
        <w:rPr>
          <w:rFonts w:ascii="Arial" w:hAnsi="Arial" w:cs="Arial"/>
        </w:rPr>
        <w:t xml:space="preserve"> employees depending on their job, capped the annual payouts at $132,120, eliminated numerous abuses of the system, and required workers who were not contributing half of their </w:t>
      </w:r>
      <w:r w:rsidRPr="00132755">
        <w:rPr>
          <w:rFonts w:ascii="Arial" w:hAnsi="Arial" w:cs="Arial"/>
          <w:shd w:val="clear" w:color="auto" w:fill="FAFAFA"/>
        </w:rPr>
        <w:t>retirement costs to pay more.</w:t>
      </w:r>
      <w:r w:rsidRPr="00132755">
        <w:rPr>
          <w:rFonts w:ascii="Arial" w:hAnsi="Arial" w:cs="Arial"/>
        </w:rPr>
        <w:t xml:space="preserve"> </w:t>
      </w:r>
      <w:r w:rsidRPr="00132755">
        <w:rPr>
          <w:rFonts w:ascii="Arial" w:hAnsi="Arial" w:cs="Arial"/>
          <w:shd w:val="clear" w:color="auto" w:fill="FAFAFA"/>
        </w:rPr>
        <w:t>CalPERS estimates it will save between $42 billion and $55 billion</w:t>
      </w:r>
      <w:r w:rsidRPr="00132755">
        <w:rPr>
          <w:rFonts w:ascii="Arial" w:hAnsi="Arial" w:cs="Arial"/>
        </w:rPr>
        <w:t xml:space="preserve"> </w:t>
      </w:r>
      <w:r w:rsidRPr="00132755">
        <w:rPr>
          <w:rFonts w:ascii="Arial" w:hAnsi="Arial" w:cs="Arial"/>
          <w:shd w:val="clear" w:color="auto" w:fill="FAFAFA"/>
        </w:rPr>
        <w:t>over 30 years while CalSTRS pegged its savings at $22.7 billion over 30 years from these</w:t>
      </w:r>
      <w:r w:rsidRPr="00132755">
        <w:rPr>
          <w:rFonts w:ascii="Arial" w:hAnsi="Arial" w:cs="Arial"/>
        </w:rPr>
        <w:t xml:space="preserve"> </w:t>
      </w:r>
      <w:r w:rsidRPr="00132755">
        <w:rPr>
          <w:rFonts w:ascii="Arial" w:hAnsi="Arial" w:cs="Arial"/>
          <w:shd w:val="clear" w:color="auto" w:fill="FAFAFA"/>
        </w:rPr>
        <w:t>changes.</w:t>
      </w:r>
    </w:p>
    <w:p w14:paraId="03AF494A" w14:textId="77777777" w:rsidR="00132755" w:rsidRPr="00132755" w:rsidRDefault="00132755" w:rsidP="00E9661B">
      <w:pPr>
        <w:rPr>
          <w:rFonts w:ascii="Arial" w:hAnsi="Arial" w:cs="Arial"/>
          <w:sz w:val="24"/>
          <w:szCs w:val="24"/>
        </w:rPr>
      </w:pPr>
    </w:p>
    <w:p w14:paraId="769B4C5C" w14:textId="0EB774EA" w:rsidR="00132755" w:rsidRPr="00132755" w:rsidRDefault="00132755" w:rsidP="00E9661B">
      <w:pPr>
        <w:ind w:left="150"/>
        <w:rPr>
          <w:rFonts w:ascii="Arial" w:hAnsi="Arial" w:cs="Arial"/>
          <w:sz w:val="24"/>
          <w:szCs w:val="24"/>
        </w:rPr>
      </w:pPr>
      <w:r w:rsidRPr="00132755">
        <w:rPr>
          <w:rFonts w:ascii="Arial" w:hAnsi="Arial" w:cs="Arial"/>
          <w:sz w:val="24"/>
          <w:szCs w:val="24"/>
        </w:rPr>
        <w:t xml:space="preserve">The Pension discussion will continue to go on for a number of years. There are people who don’t like the fact that public employees receive a pension after putting in years of service to an agency. Groups like FDSA, PORAC, </w:t>
      </w:r>
      <w:proofErr w:type="spellStart"/>
      <w:r w:rsidRPr="00132755">
        <w:rPr>
          <w:rFonts w:ascii="Arial" w:hAnsi="Arial" w:cs="Arial"/>
          <w:sz w:val="24"/>
          <w:szCs w:val="24"/>
        </w:rPr>
        <w:t>etc</w:t>
      </w:r>
      <w:proofErr w:type="spellEnd"/>
      <w:r w:rsidRPr="00132755">
        <w:rPr>
          <w:rFonts w:ascii="Arial" w:hAnsi="Arial" w:cs="Arial"/>
          <w:sz w:val="24"/>
          <w:szCs w:val="24"/>
        </w:rPr>
        <w:t xml:space="preserve"> are the ones continuing to identify and push back on these discussions ensuring the promises made </w:t>
      </w:r>
      <w:r w:rsidR="006B091B">
        <w:rPr>
          <w:rFonts w:ascii="Arial" w:hAnsi="Arial" w:cs="Arial"/>
          <w:sz w:val="24"/>
          <w:szCs w:val="24"/>
        </w:rPr>
        <w:t xml:space="preserve">at </w:t>
      </w:r>
      <w:r w:rsidRPr="00132755">
        <w:rPr>
          <w:rFonts w:ascii="Arial" w:hAnsi="Arial" w:cs="Arial"/>
          <w:sz w:val="24"/>
          <w:szCs w:val="24"/>
        </w:rPr>
        <w:t xml:space="preserve">the bargaining table are upheld at the term of retirement.  Rest assured, at the end of your career, you </w:t>
      </w:r>
      <w:r w:rsidR="006B091B">
        <w:rPr>
          <w:rFonts w:ascii="Arial" w:hAnsi="Arial" w:cs="Arial"/>
          <w:sz w:val="24"/>
          <w:szCs w:val="24"/>
        </w:rPr>
        <w:t>can</w:t>
      </w:r>
      <w:r w:rsidRPr="00132755">
        <w:rPr>
          <w:rFonts w:ascii="Arial" w:hAnsi="Arial" w:cs="Arial"/>
          <w:sz w:val="24"/>
          <w:szCs w:val="24"/>
        </w:rPr>
        <w:t xml:space="preserve"> expect this pension to be there for you and your family. We work hard daily, to ensure this comes to fruition for you and your family and those promises are upheld. </w:t>
      </w:r>
    </w:p>
    <w:p w14:paraId="3ECD5344" w14:textId="3E8DC2B3" w:rsidR="00132755" w:rsidRDefault="00132755" w:rsidP="00E9661B">
      <w:pPr>
        <w:ind w:left="150"/>
        <w:jc w:val="both"/>
        <w:rPr>
          <w:rFonts w:ascii="Arial" w:hAnsi="Arial" w:cs="Arial"/>
          <w:sz w:val="24"/>
          <w:szCs w:val="24"/>
        </w:rPr>
      </w:pPr>
      <w:r w:rsidRPr="00132755">
        <w:rPr>
          <w:rFonts w:ascii="Arial" w:hAnsi="Arial" w:cs="Arial"/>
          <w:sz w:val="24"/>
          <w:szCs w:val="24"/>
        </w:rPr>
        <w:t xml:space="preserve">Any questions you may have regarding pensions, never hesitate to ask. </w:t>
      </w:r>
    </w:p>
    <w:p w14:paraId="6A7AF40B" w14:textId="62403B94" w:rsidR="00E9661B" w:rsidRDefault="00E9661B" w:rsidP="00E9661B">
      <w:pPr>
        <w:ind w:left="150"/>
        <w:jc w:val="both"/>
        <w:rPr>
          <w:rFonts w:ascii="Arial" w:hAnsi="Arial" w:cs="Arial"/>
          <w:sz w:val="24"/>
          <w:szCs w:val="24"/>
        </w:rPr>
      </w:pPr>
      <w:r>
        <w:rPr>
          <w:rFonts w:ascii="Arial" w:hAnsi="Arial" w:cs="Arial"/>
          <w:sz w:val="24"/>
          <w:szCs w:val="24"/>
        </w:rPr>
        <w:t>Take care and stay safe!</w:t>
      </w:r>
    </w:p>
    <w:p w14:paraId="553A879D" w14:textId="070A1BDA" w:rsidR="00E9661B" w:rsidRPr="00132755" w:rsidRDefault="00E9661B" w:rsidP="00E9661B">
      <w:pPr>
        <w:ind w:left="150"/>
        <w:jc w:val="both"/>
        <w:rPr>
          <w:rFonts w:ascii="Arial" w:hAnsi="Arial" w:cs="Arial"/>
          <w:sz w:val="24"/>
          <w:szCs w:val="24"/>
        </w:rPr>
      </w:pPr>
      <w:r>
        <w:rPr>
          <w:rFonts w:ascii="Arial" w:hAnsi="Arial" w:cs="Arial"/>
          <w:sz w:val="24"/>
          <w:szCs w:val="24"/>
        </w:rPr>
        <w:t>-Eric Schmidt</w:t>
      </w:r>
      <w:bookmarkStart w:id="0" w:name="_GoBack"/>
      <w:bookmarkEnd w:id="0"/>
    </w:p>
    <w:p w14:paraId="1062A972" w14:textId="77777777" w:rsidR="00132755" w:rsidRPr="00132755" w:rsidRDefault="00132755">
      <w:pPr>
        <w:rPr>
          <w:rFonts w:ascii="Arial" w:hAnsi="Arial" w:cs="Arial"/>
          <w:sz w:val="24"/>
          <w:szCs w:val="24"/>
        </w:rPr>
      </w:pPr>
    </w:p>
    <w:sectPr w:rsidR="00132755" w:rsidRPr="00132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63B"/>
    <w:rsid w:val="00132755"/>
    <w:rsid w:val="006013F3"/>
    <w:rsid w:val="006B091B"/>
    <w:rsid w:val="0073163B"/>
    <w:rsid w:val="009B3404"/>
    <w:rsid w:val="00A708A5"/>
    <w:rsid w:val="00A86376"/>
    <w:rsid w:val="00B40632"/>
    <w:rsid w:val="00E575C4"/>
    <w:rsid w:val="00E9661B"/>
    <w:rsid w:val="00EA6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2E19"/>
  <w15:chartTrackingRefBased/>
  <w15:docId w15:val="{B6C56310-09BB-49C5-A583-78352876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32755"/>
    <w:pPr>
      <w:widowControl w:val="0"/>
      <w:autoSpaceDE w:val="0"/>
      <w:autoSpaceDN w:val="0"/>
      <w:spacing w:after="0" w:line="240" w:lineRule="auto"/>
      <w:ind w:left="100"/>
      <w:outlineLvl w:val="0"/>
    </w:pPr>
    <w:rPr>
      <w:rFonts w:ascii="Calibri" w:eastAsia="Calibri" w:hAnsi="Calibri" w:cs="Calibri"/>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2755"/>
    <w:rPr>
      <w:rFonts w:ascii="Calibri" w:eastAsia="Calibri" w:hAnsi="Calibri" w:cs="Calibri"/>
      <w:b/>
      <w:bCs/>
      <w:sz w:val="24"/>
      <w:szCs w:val="24"/>
      <w:lang w:bidi="en-US"/>
    </w:rPr>
  </w:style>
  <w:style w:type="paragraph" w:styleId="BodyText">
    <w:name w:val="Body Text"/>
    <w:basedOn w:val="Normal"/>
    <w:link w:val="BodyTextChar"/>
    <w:uiPriority w:val="1"/>
    <w:qFormat/>
    <w:rsid w:val="00132755"/>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132755"/>
    <w:rPr>
      <w:rFonts w:ascii="Calibri" w:eastAsia="Calibri" w:hAnsi="Calibri" w:cs="Calibri"/>
      <w:sz w:val="24"/>
      <w:szCs w:val="24"/>
      <w:lang w:bidi="en-US"/>
    </w:rPr>
  </w:style>
  <w:style w:type="paragraph" w:customStyle="1" w:styleId="TableParagraph">
    <w:name w:val="Table Paragraph"/>
    <w:basedOn w:val="Normal"/>
    <w:uiPriority w:val="1"/>
    <w:qFormat/>
    <w:rsid w:val="00132755"/>
    <w:pPr>
      <w:widowControl w:val="0"/>
      <w:autoSpaceDE w:val="0"/>
      <w:autoSpaceDN w:val="0"/>
      <w:spacing w:before="40"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Schmidt</dc:creator>
  <cp:keywords/>
  <dc:description/>
  <cp:lastModifiedBy>Tammy Paniagua</cp:lastModifiedBy>
  <cp:revision>3</cp:revision>
  <dcterms:created xsi:type="dcterms:W3CDTF">2020-03-02T19:00:00Z</dcterms:created>
  <dcterms:modified xsi:type="dcterms:W3CDTF">2020-03-02T20:19:00Z</dcterms:modified>
</cp:coreProperties>
</file>